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1128" w14:textId="07014445" w:rsidR="00637752" w:rsidRPr="00C81F96" w:rsidRDefault="00637752" w:rsidP="00637752">
      <w:pPr>
        <w:tabs>
          <w:tab w:val="center" w:pos="4536"/>
          <w:tab w:val="right" w:pos="7938"/>
          <w:tab w:val="right" w:pos="9639"/>
        </w:tabs>
        <w:ind w:right="2"/>
        <w:rPr>
          <w:rFonts w:ascii="Arial" w:hAnsi="Arial" w:cs="Arial"/>
          <w:b/>
          <w:bCs/>
          <w:sz w:val="28"/>
          <w:lang w:val="de-DE"/>
        </w:rPr>
      </w:pPr>
      <w:bookmarkStart w:id="0" w:name="_Hlk145670493"/>
      <w:r w:rsidRPr="00C81F96">
        <w:rPr>
          <w:rFonts w:ascii="Arial" w:hAnsi="Arial" w:cs="Arial"/>
          <w:b/>
          <w:bCs/>
          <w:sz w:val="28"/>
          <w:lang w:val="de-DE"/>
        </w:rPr>
        <w:t>3GPP TSG RAN WG1 #12</w:t>
      </w:r>
      <w:r w:rsidRPr="00C81F96">
        <w:rPr>
          <w:rFonts w:ascii="Arial" w:eastAsia="等线"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r>
      <w:r w:rsidRPr="00637752">
        <w:rPr>
          <w:rFonts w:ascii="Arial" w:hAnsi="Arial" w:cs="Arial"/>
          <w:b/>
          <w:bCs/>
          <w:sz w:val="28"/>
          <w:lang w:val="de-DE"/>
        </w:rPr>
        <w:t>R1-2506967</w:t>
      </w:r>
    </w:p>
    <w:p w14:paraId="28B8ED2C" w14:textId="77777777" w:rsidR="00637752" w:rsidRPr="00C81F96" w:rsidRDefault="00637752" w:rsidP="00637752">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p w14:paraId="1D591AE4" w14:textId="77777777" w:rsidR="007B0CA8" w:rsidRPr="00637752" w:rsidRDefault="007B0CA8" w:rsidP="000200BF">
      <w:pPr>
        <w:tabs>
          <w:tab w:val="center" w:pos="4536"/>
          <w:tab w:val="right" w:pos="9072"/>
        </w:tabs>
        <w:ind w:left="0" w:firstLine="0"/>
        <w:rPr>
          <w:rFonts w:ascii="Arial" w:eastAsia="MS Mincho" w:hAnsi="Arial" w:cs="Arial"/>
          <w:b/>
          <w:bCs/>
          <w:sz w:val="28"/>
          <w:lang w:val="de-DE"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36389EC4"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637752" w:rsidRPr="00637752">
        <w:rPr>
          <w:rFonts w:ascii="Times New Roman" w:hAnsi="Times New Roman"/>
          <w:b/>
          <w:bCs/>
          <w:sz w:val="24"/>
        </w:rPr>
        <w:t>Maintenance for Rel-19 NR NTN</w:t>
      </w:r>
      <w:r w:rsidR="00074C17" w:rsidRPr="008C5DCC">
        <w:rPr>
          <w:rFonts w:ascii="Times New Roman" w:hAnsi="Times New Roman"/>
          <w:b/>
          <w:bCs/>
          <w:sz w:val="24"/>
        </w:rPr>
        <w:t xml:space="preserve"> </w:t>
      </w:r>
    </w:p>
    <w:p w14:paraId="786AFD6A" w14:textId="57A235A9"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637752" w:rsidRPr="00637752">
        <w:rPr>
          <w:rFonts w:ascii="Times New Roman" w:hAnsi="Times New Roman"/>
          <w:b/>
          <w:bCs/>
          <w:color w:val="000000"/>
          <w:sz w:val="24"/>
        </w:rPr>
        <w:t>8.7.1   </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6C407F" w14:textId="4E0C9742" w:rsidR="00B068D8" w:rsidRPr="00732A94" w:rsidRDefault="00B068D8" w:rsidP="00B068D8">
      <w:pPr>
        <w:ind w:left="0" w:firstLine="0"/>
        <w:jc w:val="both"/>
        <w:rPr>
          <w:rFonts w:ascii="Times New Roman" w:eastAsia="宋体" w:hAnsi="Times New Roman"/>
          <w:color w:val="000000"/>
          <w:sz w:val="22"/>
          <w:szCs w:val="22"/>
          <w:lang w:eastAsia="zh-CN"/>
        </w:rPr>
      </w:pPr>
      <w:bookmarkStart w:id="3" w:name="OLE_LINK1"/>
      <w:r w:rsidRPr="00732A94">
        <w:rPr>
          <w:rFonts w:ascii="Times New Roman" w:eastAsia="宋体" w:hAnsi="Times New Roman" w:hint="eastAsia"/>
          <w:color w:val="000000"/>
          <w:sz w:val="22"/>
          <w:szCs w:val="22"/>
          <w:lang w:eastAsia="zh-CN"/>
        </w:rPr>
        <w:t>I</w:t>
      </w:r>
      <w:r w:rsidRPr="00732A94">
        <w:rPr>
          <w:rFonts w:ascii="Times New Roman" w:eastAsia="宋体" w:hAnsi="Times New Roman"/>
          <w:color w:val="000000"/>
          <w:sz w:val="22"/>
          <w:szCs w:val="22"/>
          <w:lang w:eastAsia="zh-CN"/>
        </w:rPr>
        <w:t xml:space="preserve">n this contribution, we will </w:t>
      </w:r>
      <w:r w:rsidR="007836C0" w:rsidRPr="00732A94">
        <w:rPr>
          <w:rFonts w:ascii="Times New Roman" w:eastAsia="宋体" w:hAnsi="Times New Roman"/>
          <w:color w:val="000000"/>
          <w:sz w:val="22"/>
          <w:szCs w:val="22"/>
          <w:lang w:eastAsia="zh-CN"/>
        </w:rPr>
        <w:t>share our views on</w:t>
      </w:r>
      <w:r w:rsidR="00DC1FD9" w:rsidRPr="00732A94">
        <w:rPr>
          <w:rFonts w:ascii="Times New Roman" w:eastAsia="宋体" w:hAnsi="Times New Roman"/>
          <w:color w:val="000000"/>
          <w:sz w:val="22"/>
          <w:szCs w:val="22"/>
          <w:lang w:eastAsia="zh-CN"/>
        </w:rPr>
        <w:t xml:space="preserve"> several</w:t>
      </w:r>
      <w:r w:rsidR="00D703E6" w:rsidRPr="00732A94">
        <w:rPr>
          <w:rFonts w:ascii="Times New Roman" w:eastAsia="宋体" w:hAnsi="Times New Roman"/>
          <w:color w:val="000000"/>
          <w:sz w:val="22"/>
          <w:szCs w:val="22"/>
          <w:lang w:eastAsia="zh-CN"/>
        </w:rPr>
        <w:t xml:space="preserve"> </w:t>
      </w:r>
      <w:r w:rsidR="00DC1FD9" w:rsidRPr="00732A94">
        <w:rPr>
          <w:rFonts w:ascii="Times New Roman" w:eastAsia="宋体" w:hAnsi="Times New Roman"/>
          <w:color w:val="000000"/>
          <w:sz w:val="22"/>
          <w:szCs w:val="22"/>
          <w:lang w:eastAsia="zh-CN"/>
        </w:rPr>
        <w:t>left-over issues on</w:t>
      </w:r>
      <w:r w:rsidR="00D703E6" w:rsidRPr="00732A94">
        <w:rPr>
          <w:rFonts w:ascii="Times New Roman" w:eastAsia="宋体" w:hAnsi="Times New Roman"/>
          <w:color w:val="000000"/>
          <w:sz w:val="22"/>
          <w:szCs w:val="22"/>
          <w:lang w:eastAsia="zh-CN"/>
        </w:rPr>
        <w:t xml:space="preserve"> </w:t>
      </w:r>
      <w:r w:rsidR="00FD3FE1" w:rsidRPr="00732A94">
        <w:rPr>
          <w:rFonts w:ascii="Times New Roman" w:eastAsia="宋体" w:hAnsi="Times New Roman"/>
          <w:color w:val="000000"/>
          <w:sz w:val="22"/>
          <w:szCs w:val="22"/>
          <w:lang w:eastAsia="zh-CN"/>
        </w:rPr>
        <w:t>Rel-19 NR NTN, including</w:t>
      </w:r>
      <w:r w:rsidR="007836C0" w:rsidRPr="00732A94">
        <w:rPr>
          <w:rFonts w:ascii="Times New Roman" w:eastAsia="宋体" w:hAnsi="Times New Roman"/>
          <w:color w:val="000000"/>
          <w:sz w:val="22"/>
          <w:szCs w:val="22"/>
          <w:lang w:eastAsia="zh-CN"/>
        </w:rPr>
        <w:t xml:space="preserve"> </w:t>
      </w:r>
      <w:r w:rsidR="00FD3FE1" w:rsidRPr="00732A94">
        <w:rPr>
          <w:rFonts w:ascii="Times New Roman" w:eastAsia="宋体" w:hAnsi="Times New Roman"/>
          <w:color w:val="000000"/>
          <w:sz w:val="22"/>
          <w:szCs w:val="22"/>
          <w:lang w:eastAsia="zh-CN"/>
        </w:rPr>
        <w:t xml:space="preserve">support of (e)RedCap UEs with NR NTN operation, and NR-NTN uplink capacity enhancement. </w:t>
      </w:r>
    </w:p>
    <w:bookmarkEnd w:id="3"/>
    <w:p w14:paraId="38B95D73" w14:textId="4823AD8E" w:rsidR="006A27A2" w:rsidRPr="00F76920" w:rsidRDefault="00B068D8" w:rsidP="00F76920">
      <w:pPr>
        <w:pStyle w:val="1"/>
        <w:tabs>
          <w:tab w:val="clear" w:pos="432"/>
          <w:tab w:val="num" w:pos="0"/>
        </w:tabs>
        <w:ind w:left="426"/>
        <w:rPr>
          <w:rFonts w:eastAsia="宋体"/>
          <w:color w:val="000000"/>
          <w:lang w:eastAsia="zh-CN"/>
        </w:rPr>
      </w:pPr>
      <w:r>
        <w:rPr>
          <w:rFonts w:eastAsia="宋体"/>
          <w:color w:val="000000"/>
          <w:lang w:eastAsia="zh-CN"/>
        </w:rPr>
        <w:t xml:space="preserve">Discussion </w:t>
      </w:r>
    </w:p>
    <w:p w14:paraId="2D9D59C4" w14:textId="377DB738" w:rsidR="00C60117" w:rsidRDefault="00C60117" w:rsidP="00C60117">
      <w:pPr>
        <w:pStyle w:val="2"/>
        <w:rPr>
          <w:rFonts w:eastAsiaTheme="minorEastAsia" w:cs="Arial"/>
          <w:lang w:eastAsia="zh-CN"/>
        </w:rPr>
      </w:pPr>
      <w:r w:rsidRPr="00C60117">
        <w:rPr>
          <w:rFonts w:eastAsiaTheme="minorEastAsia" w:cs="Arial" w:hint="eastAsia"/>
          <w:lang w:eastAsia="zh-CN"/>
        </w:rPr>
        <w:t>S</w:t>
      </w:r>
      <w:r w:rsidRPr="00C60117">
        <w:rPr>
          <w:rFonts w:eastAsiaTheme="minorEastAsia" w:cs="Arial"/>
          <w:lang w:eastAsia="zh-CN"/>
        </w:rPr>
        <w:t>upport of (e)RedCap UEs with NR NTN operation</w:t>
      </w:r>
    </w:p>
    <w:p w14:paraId="1099267E" w14:textId="77777777" w:rsidR="00DB0355" w:rsidRPr="00014E01" w:rsidRDefault="00DB0355" w:rsidP="00DB0355">
      <w:pPr>
        <w:pStyle w:val="3"/>
        <w:rPr>
          <w:sz w:val="22"/>
          <w:szCs w:val="22"/>
        </w:rPr>
      </w:pPr>
      <w:r w:rsidRPr="00014E01">
        <w:rPr>
          <w:sz w:val="22"/>
          <w:szCs w:val="22"/>
        </w:rPr>
        <w:t>Collision scenarios with more than two overlapping transmissions</w:t>
      </w:r>
    </w:p>
    <w:p w14:paraId="2F56409D" w14:textId="69F146C4" w:rsidR="00FF1156" w:rsidRPr="00732A94" w:rsidRDefault="00FF1156" w:rsidP="00FF1156">
      <w:pPr>
        <w:spacing w:after="120"/>
        <w:ind w:left="0" w:firstLine="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 xml:space="preserve">In previous meetings, collisions </w:t>
      </w:r>
      <w:r w:rsidRPr="00732A94">
        <w:rPr>
          <w:rFonts w:ascii="Times New Roman" w:eastAsia="等线" w:hAnsi="Times New Roman" w:hint="eastAsia"/>
          <w:sz w:val="22"/>
          <w:szCs w:val="22"/>
          <w:lang w:val="en-US" w:eastAsia="zh-CN"/>
        </w:rPr>
        <w:t>among</w:t>
      </w:r>
      <w:r w:rsidRPr="00732A94">
        <w:rPr>
          <w:rFonts w:ascii="Times New Roman" w:eastAsia="等线" w:hAnsi="Times New Roman"/>
          <w:sz w:val="22"/>
          <w:szCs w:val="22"/>
          <w:lang w:val="en-US" w:eastAsia="zh-CN"/>
        </w:rPr>
        <w:t xml:space="preserve"> more than two overlapping transmissions have been discussed. For example, a scenario was mentioned that a semi-static PDSCH and a dynamic PDSCH—both carrying UL-SCH and multiplexing in a TDM manner—collide with a dynamic PUSCH with UL-SCH. In such a case, the dynamic PUSCH has higher priorit</w:t>
      </w:r>
      <w:r w:rsidR="00AF3D1B">
        <w:rPr>
          <w:rFonts w:ascii="Times New Roman" w:eastAsia="等线" w:hAnsi="Times New Roman"/>
          <w:sz w:val="22"/>
          <w:szCs w:val="22"/>
          <w:lang w:val="en-US" w:eastAsia="zh-CN"/>
        </w:rPr>
        <w:t>y</w:t>
      </w:r>
      <w:r w:rsidRPr="00732A94">
        <w:rPr>
          <w:rFonts w:ascii="Times New Roman" w:eastAsia="等线" w:hAnsi="Times New Roman"/>
          <w:sz w:val="22"/>
          <w:szCs w:val="22"/>
          <w:lang w:val="en-US" w:eastAsia="zh-CN"/>
        </w:rPr>
        <w:t xml:space="preserve"> than the semi-static PDSCH, while the dynamic PDSCH has higher default priority than the dynamic PUSCH. This raises the question of how to resolve the resulting collision.</w:t>
      </w:r>
    </w:p>
    <w:p w14:paraId="7147F4F7" w14:textId="6D600CEC" w:rsidR="00FF1156" w:rsidRPr="00732A94" w:rsidRDefault="00FF1156" w:rsidP="00FF1156">
      <w:pPr>
        <w:spacing w:after="120"/>
        <w:ind w:left="0" w:firstLine="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However, we consider this scheduling scenario to be a corner case that can be avoided through proper gNB scheduling. Indeed, this issue has been discussed multiple times during the WI phase, yet no consensus has been reached. Given the lack of agreement and the fact that practical deployments can prevent such collisions via scheduling, we propose to discontinue further discussion on this issue, and it has no specification impact.</w:t>
      </w:r>
    </w:p>
    <w:p w14:paraId="708D92F3" w14:textId="77777777" w:rsidR="00FF1156" w:rsidRPr="00FF1156" w:rsidRDefault="00FF1156" w:rsidP="00FF1156">
      <w:pPr>
        <w:ind w:left="0" w:firstLine="0"/>
        <w:jc w:val="both"/>
        <w:rPr>
          <w:rFonts w:ascii="Times New Roman" w:eastAsia="宋体" w:hAnsi="Times New Roman"/>
          <w:b/>
          <w:bCs/>
          <w:color w:val="000000"/>
          <w:sz w:val="22"/>
          <w:szCs w:val="22"/>
          <w:lang w:eastAsia="zh-CN"/>
        </w:rPr>
      </w:pPr>
    </w:p>
    <w:p w14:paraId="316FBA16" w14:textId="15A323FC" w:rsidR="00FF1156" w:rsidRDefault="00FF1156" w:rsidP="00FF1156">
      <w:pPr>
        <w:ind w:left="0" w:firstLine="0"/>
        <w:jc w:val="both"/>
        <w:rPr>
          <w:rFonts w:ascii="Times New Roman" w:eastAsia="宋体" w:hAnsi="Times New Roman"/>
          <w:b/>
          <w:bCs/>
          <w:color w:val="000000"/>
          <w:sz w:val="22"/>
          <w:szCs w:val="22"/>
          <w:lang w:eastAsia="zh-CN"/>
        </w:rPr>
      </w:pPr>
      <w:r w:rsidRPr="00FF1156">
        <w:rPr>
          <w:rFonts w:ascii="Times New Roman" w:eastAsia="宋体" w:hAnsi="Times New Roman"/>
          <w:b/>
          <w:bCs/>
          <w:color w:val="000000"/>
          <w:sz w:val="22"/>
          <w:szCs w:val="22"/>
          <w:lang w:eastAsia="zh-CN"/>
        </w:rPr>
        <w:t xml:space="preserve">Proposal </w:t>
      </w:r>
      <w:r w:rsidR="007836C0">
        <w:rPr>
          <w:rFonts w:ascii="Times New Roman" w:eastAsia="宋体" w:hAnsi="Times New Roman"/>
          <w:b/>
          <w:bCs/>
          <w:color w:val="000000"/>
          <w:sz w:val="22"/>
          <w:szCs w:val="22"/>
          <w:lang w:eastAsia="zh-CN"/>
        </w:rPr>
        <w:t>1</w:t>
      </w:r>
      <w:r w:rsidRPr="00FF1156">
        <w:rPr>
          <w:rFonts w:ascii="Times New Roman" w:eastAsia="宋体" w:hAnsi="Times New Roman"/>
          <w:b/>
          <w:bCs/>
          <w:color w:val="000000"/>
          <w:sz w:val="22"/>
          <w:szCs w:val="22"/>
          <w:lang w:eastAsia="zh-CN"/>
        </w:rPr>
        <w:t xml:space="preserve">: Collisions among more than two channels can be avoided by gNB scheduling without any spec impact. </w:t>
      </w:r>
    </w:p>
    <w:p w14:paraId="2EA82A94" w14:textId="77777777" w:rsidR="007836C0" w:rsidRPr="00FF1156" w:rsidRDefault="007836C0" w:rsidP="00FF1156">
      <w:pPr>
        <w:ind w:left="0" w:firstLine="0"/>
        <w:jc w:val="both"/>
        <w:rPr>
          <w:rFonts w:ascii="Times New Roman" w:eastAsia="宋体" w:hAnsi="Times New Roman"/>
          <w:b/>
          <w:bCs/>
          <w:color w:val="000000"/>
          <w:sz w:val="22"/>
          <w:szCs w:val="22"/>
          <w:lang w:eastAsia="zh-CN"/>
        </w:rPr>
      </w:pPr>
    </w:p>
    <w:p w14:paraId="1B9821CB" w14:textId="77777777" w:rsidR="00DB0355" w:rsidRPr="00014E01" w:rsidRDefault="00DB0355" w:rsidP="00DB0355">
      <w:pPr>
        <w:pStyle w:val="3"/>
        <w:rPr>
          <w:sz w:val="22"/>
          <w:szCs w:val="22"/>
        </w:rPr>
      </w:pPr>
      <w:r w:rsidRPr="00014E01">
        <w:rPr>
          <w:sz w:val="22"/>
          <w:szCs w:val="22"/>
        </w:rPr>
        <w:t xml:space="preserve">TA report enhancement </w:t>
      </w:r>
    </w:p>
    <w:p w14:paraId="18E7D0D0" w14:textId="77777777" w:rsidR="00E81F12" w:rsidRPr="00732A94" w:rsidRDefault="00E81F12" w:rsidP="00E81F12">
      <w:pPr>
        <w:spacing w:after="120"/>
        <w:ind w:left="0" w:firstLine="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 xml:space="preserve">In RAN1#118 meeting, the following agreement was reached regarding TA reporting enhancements for Rel-19 NTN HD-FDD (e)RedCap UEs to mitigate collisions in Case 3 and Case 4. However, the complexity, efficiency, power consumption and signaling overhead should be carefully evaluated. </w:t>
      </w:r>
    </w:p>
    <w:tbl>
      <w:tblPr>
        <w:tblStyle w:val="25"/>
        <w:tblW w:w="9062" w:type="dxa"/>
        <w:tblLayout w:type="fixed"/>
        <w:tblLook w:val="04A0" w:firstRow="1" w:lastRow="0" w:firstColumn="1" w:lastColumn="0" w:noHBand="0" w:noVBand="1"/>
      </w:tblPr>
      <w:tblGrid>
        <w:gridCol w:w="9062"/>
      </w:tblGrid>
      <w:tr w:rsidR="00E81F12" w:rsidRPr="00732A94" w14:paraId="5C872372" w14:textId="77777777" w:rsidTr="0015424C">
        <w:tc>
          <w:tcPr>
            <w:tcW w:w="9062" w:type="dxa"/>
          </w:tcPr>
          <w:p w14:paraId="104283A6" w14:textId="77777777" w:rsidR="00E81F12" w:rsidRPr="00732A94" w:rsidRDefault="00E81F12" w:rsidP="00E81F12">
            <w:pPr>
              <w:adjustRightInd w:val="0"/>
              <w:snapToGrid w:val="0"/>
              <w:ind w:left="0" w:firstLine="0"/>
              <w:rPr>
                <w:sz w:val="22"/>
                <w:szCs w:val="22"/>
                <w:highlight w:val="green"/>
                <w:lang w:eastAsia="zh-CN"/>
              </w:rPr>
            </w:pPr>
            <w:r w:rsidRPr="00732A94">
              <w:rPr>
                <w:sz w:val="22"/>
                <w:szCs w:val="22"/>
                <w:highlight w:val="green"/>
                <w:lang w:eastAsia="zh-CN"/>
              </w:rPr>
              <w:t>Agreement</w:t>
            </w:r>
          </w:p>
          <w:p w14:paraId="62C120BD" w14:textId="77777777" w:rsidR="00E81F12" w:rsidRPr="00732A94" w:rsidRDefault="00E81F12" w:rsidP="00E81F12">
            <w:pPr>
              <w:adjustRightInd w:val="0"/>
              <w:snapToGrid w:val="0"/>
              <w:ind w:left="0" w:firstLine="0"/>
              <w:rPr>
                <w:bCs/>
                <w:sz w:val="22"/>
                <w:szCs w:val="22"/>
              </w:rPr>
            </w:pPr>
            <w:bookmarkStart w:id="4" w:name="_Hlk178620334"/>
            <w:r w:rsidRPr="00732A94">
              <w:rPr>
                <w:sz w:val="22"/>
                <w:szCs w:val="22"/>
              </w:rPr>
              <w:t xml:space="preserve">To </w:t>
            </w:r>
            <w:r w:rsidRPr="00732A94">
              <w:rPr>
                <w:sz w:val="22"/>
                <w:szCs w:val="22"/>
                <w:lang w:eastAsia="zh-CN"/>
              </w:rPr>
              <w:t>mitigate t</w:t>
            </w:r>
            <w:r w:rsidRPr="00732A94">
              <w:rPr>
                <w:rFonts w:ascii="Times New Roman" w:hAnsi="Times New Roman"/>
                <w:sz w:val="22"/>
                <w:szCs w:val="22"/>
              </w:rPr>
              <w:t>he collisions of case3 and case4</w:t>
            </w:r>
            <w:bookmarkEnd w:id="4"/>
            <w:r w:rsidRPr="00732A94">
              <w:rPr>
                <w:rFonts w:ascii="Times New Roman" w:hAnsi="Times New Roman"/>
                <w:sz w:val="22"/>
                <w:szCs w:val="22"/>
              </w:rPr>
              <w:t xml:space="preserve">, </w:t>
            </w:r>
            <w:bookmarkStart w:id="5" w:name="_Hlk178620302"/>
            <w:r w:rsidRPr="00732A94">
              <w:rPr>
                <w:rFonts w:ascii="Times New Roman" w:hAnsi="Times New Roman"/>
                <w:sz w:val="22"/>
                <w:szCs w:val="22"/>
                <w:lang w:eastAsia="zh-CN"/>
              </w:rPr>
              <w:t xml:space="preserve">the following TA reporting enhancements </w:t>
            </w:r>
            <w:bookmarkEnd w:id="5"/>
            <w:r w:rsidRPr="00732A94">
              <w:rPr>
                <w:sz w:val="22"/>
                <w:szCs w:val="22"/>
                <w:lang w:eastAsia="zh-CN"/>
              </w:rPr>
              <w:t>for Rel-19 NTN HD-FDD (e)Redcap UE</w:t>
            </w:r>
            <w:r w:rsidRPr="00732A94">
              <w:rPr>
                <w:rFonts w:ascii="Times New Roman" w:hAnsi="Times New Roman"/>
                <w:sz w:val="22"/>
                <w:szCs w:val="22"/>
                <w:lang w:eastAsia="zh-CN"/>
              </w:rPr>
              <w:t xml:space="preserve"> can be further studied: </w:t>
            </w:r>
          </w:p>
          <w:p w14:paraId="2611DDA9" w14:textId="77777777" w:rsidR="00E81F12" w:rsidRPr="00732A94" w:rsidRDefault="00E81F12" w:rsidP="00E81F12">
            <w:pPr>
              <w:numPr>
                <w:ilvl w:val="0"/>
                <w:numId w:val="19"/>
              </w:numPr>
              <w:overflowPunct w:val="0"/>
              <w:autoSpaceDE w:val="0"/>
              <w:autoSpaceDN w:val="0"/>
              <w:adjustRightInd w:val="0"/>
              <w:ind w:left="714" w:hanging="357"/>
              <w:contextualSpacing/>
              <w:textAlignment w:val="baseline"/>
              <w:rPr>
                <w:rFonts w:ascii="Times New Roman" w:hAnsi="Times New Roman"/>
                <w:sz w:val="22"/>
                <w:szCs w:val="22"/>
                <w:lang w:eastAsia="zh-CN"/>
              </w:rPr>
            </w:pPr>
            <w:bookmarkStart w:id="6" w:name="_Hlk178620241"/>
            <w:r w:rsidRPr="00732A94">
              <w:rPr>
                <w:rFonts w:ascii="Times New Roman" w:hAnsi="Times New Roman"/>
                <w:sz w:val="22"/>
                <w:szCs w:val="22"/>
                <w:lang w:eastAsia="zh-CN"/>
              </w:rPr>
              <w:t xml:space="preserve">Finer TA report granularity </w:t>
            </w:r>
          </w:p>
          <w:p w14:paraId="16715E8F" w14:textId="77777777" w:rsidR="00E81F12" w:rsidRPr="00732A94" w:rsidRDefault="00E81F12" w:rsidP="00E81F12">
            <w:pPr>
              <w:numPr>
                <w:ilvl w:val="0"/>
                <w:numId w:val="19"/>
              </w:numPr>
              <w:overflowPunct w:val="0"/>
              <w:autoSpaceDE w:val="0"/>
              <w:autoSpaceDN w:val="0"/>
              <w:adjustRightInd w:val="0"/>
              <w:ind w:left="714" w:hanging="357"/>
              <w:contextualSpacing/>
              <w:textAlignment w:val="baseline"/>
              <w:rPr>
                <w:rFonts w:ascii="Times New Roman" w:hAnsi="Times New Roman"/>
                <w:sz w:val="22"/>
                <w:szCs w:val="22"/>
                <w:lang w:eastAsia="zh-CN"/>
              </w:rPr>
            </w:pPr>
            <w:r w:rsidRPr="00732A94">
              <w:rPr>
                <w:rFonts w:ascii="Times New Roman" w:hAnsi="Times New Roman"/>
                <w:sz w:val="22"/>
                <w:szCs w:val="22"/>
                <w:lang w:eastAsia="zh-CN"/>
              </w:rPr>
              <w:t xml:space="preserve">Smaller TA offset threshold </w:t>
            </w:r>
          </w:p>
          <w:p w14:paraId="16455657" w14:textId="77777777" w:rsidR="00E81F12" w:rsidRPr="00732A94" w:rsidRDefault="00E81F12" w:rsidP="00E81F12">
            <w:pPr>
              <w:numPr>
                <w:ilvl w:val="0"/>
                <w:numId w:val="19"/>
              </w:numPr>
              <w:overflowPunct w:val="0"/>
              <w:autoSpaceDE w:val="0"/>
              <w:autoSpaceDN w:val="0"/>
              <w:adjustRightInd w:val="0"/>
              <w:ind w:left="714" w:hanging="357"/>
              <w:contextualSpacing/>
              <w:textAlignment w:val="baseline"/>
              <w:rPr>
                <w:rFonts w:ascii="Times New Roman" w:hAnsi="Times New Roman"/>
                <w:sz w:val="22"/>
                <w:szCs w:val="22"/>
                <w:lang w:eastAsia="zh-CN"/>
              </w:rPr>
            </w:pPr>
            <w:r w:rsidRPr="00732A94">
              <w:rPr>
                <w:rFonts w:ascii="Times New Roman" w:hAnsi="Times New Roman"/>
                <w:sz w:val="22"/>
                <w:szCs w:val="22"/>
                <w:lang w:eastAsia="zh-CN"/>
              </w:rPr>
              <w:t>Trigger a TA report when the collision is detected at the UE</w:t>
            </w:r>
          </w:p>
          <w:p w14:paraId="7D0DF888" w14:textId="77777777" w:rsidR="00E81F12" w:rsidRPr="00732A94" w:rsidRDefault="00E81F12" w:rsidP="00E81F12">
            <w:pPr>
              <w:numPr>
                <w:ilvl w:val="0"/>
                <w:numId w:val="19"/>
              </w:numPr>
              <w:overflowPunct w:val="0"/>
              <w:autoSpaceDE w:val="0"/>
              <w:autoSpaceDN w:val="0"/>
              <w:adjustRightInd w:val="0"/>
              <w:ind w:left="714" w:hanging="357"/>
              <w:contextualSpacing/>
              <w:textAlignment w:val="baseline"/>
              <w:rPr>
                <w:rFonts w:ascii="Times New Roman" w:hAnsi="Times New Roman"/>
                <w:sz w:val="22"/>
                <w:szCs w:val="22"/>
                <w:lang w:eastAsia="zh-CN"/>
              </w:rPr>
            </w:pPr>
            <w:r w:rsidRPr="00732A94">
              <w:rPr>
                <w:rFonts w:ascii="Times New Roman" w:hAnsi="Times New Roman"/>
                <w:sz w:val="22"/>
                <w:szCs w:val="22"/>
                <w:lang w:eastAsia="zh-CN"/>
              </w:rPr>
              <w:t>TA reporting with a new triggering mechanism from gNB</w:t>
            </w:r>
          </w:p>
          <w:p w14:paraId="1C046AB3" w14:textId="77777777" w:rsidR="00E81F12" w:rsidRPr="00732A94" w:rsidRDefault="00E81F12" w:rsidP="00E81F12">
            <w:pPr>
              <w:numPr>
                <w:ilvl w:val="0"/>
                <w:numId w:val="19"/>
              </w:numPr>
              <w:overflowPunct w:val="0"/>
              <w:autoSpaceDE w:val="0"/>
              <w:autoSpaceDN w:val="0"/>
              <w:adjustRightInd w:val="0"/>
              <w:ind w:left="714" w:hanging="357"/>
              <w:contextualSpacing/>
              <w:textAlignment w:val="baseline"/>
              <w:rPr>
                <w:rFonts w:ascii="Times New Roman" w:hAnsi="Times New Roman"/>
                <w:sz w:val="22"/>
                <w:szCs w:val="22"/>
                <w:lang w:eastAsia="zh-CN"/>
              </w:rPr>
            </w:pPr>
            <w:r w:rsidRPr="00732A94">
              <w:rPr>
                <w:rFonts w:ascii="Times New Roman" w:hAnsi="Times New Roman"/>
                <w:sz w:val="22"/>
                <w:szCs w:val="22"/>
                <w:lang w:eastAsia="zh-CN"/>
              </w:rPr>
              <w:t>TA drifting rate reporting</w:t>
            </w:r>
            <w:bookmarkEnd w:id="6"/>
          </w:p>
          <w:p w14:paraId="707E2114" w14:textId="77777777" w:rsidR="00E81F12" w:rsidRPr="00732A94" w:rsidRDefault="00E81F12" w:rsidP="00E81F12">
            <w:pPr>
              <w:ind w:left="0" w:firstLine="0"/>
              <w:rPr>
                <w:sz w:val="22"/>
                <w:szCs w:val="22"/>
                <w:lang w:eastAsia="zh-CN"/>
              </w:rPr>
            </w:pPr>
            <w:r w:rsidRPr="00732A94">
              <w:rPr>
                <w:sz w:val="22"/>
                <w:szCs w:val="22"/>
              </w:rPr>
              <w:t xml:space="preserve">Note: </w:t>
            </w:r>
            <w:r w:rsidRPr="00732A94">
              <w:rPr>
                <w:sz w:val="22"/>
                <w:szCs w:val="22"/>
                <w:lang w:eastAsia="zh-CN"/>
              </w:rPr>
              <w:t xml:space="preserve">The benefit, </w:t>
            </w:r>
            <w:r w:rsidRPr="00732A94">
              <w:rPr>
                <w:sz w:val="22"/>
                <w:szCs w:val="22"/>
              </w:rPr>
              <w:t xml:space="preserve">complexity, power consumption and signaling overhead </w:t>
            </w:r>
            <w:r w:rsidRPr="00732A94">
              <w:rPr>
                <w:sz w:val="22"/>
                <w:szCs w:val="22"/>
                <w:lang w:eastAsia="zh-CN"/>
              </w:rPr>
              <w:t xml:space="preserve">of each scheme is to be further </w:t>
            </w:r>
            <w:r w:rsidRPr="00732A94">
              <w:rPr>
                <w:sz w:val="22"/>
                <w:szCs w:val="22"/>
              </w:rPr>
              <w:t>investigated</w:t>
            </w:r>
            <w:r w:rsidRPr="00732A94">
              <w:rPr>
                <w:sz w:val="22"/>
                <w:szCs w:val="22"/>
                <w:lang w:eastAsia="zh-CN"/>
              </w:rPr>
              <w:t>.</w:t>
            </w:r>
          </w:p>
          <w:p w14:paraId="31C7E41E" w14:textId="77777777" w:rsidR="00E81F12" w:rsidRPr="00732A94" w:rsidRDefault="00E81F12" w:rsidP="00E81F12">
            <w:pPr>
              <w:ind w:left="0" w:firstLine="0"/>
              <w:rPr>
                <w:rFonts w:ascii="Times New Roman" w:eastAsia="等线" w:hAnsi="Times New Roman"/>
                <w:sz w:val="22"/>
                <w:szCs w:val="22"/>
                <w:lang w:eastAsia="zh-CN"/>
              </w:rPr>
            </w:pPr>
            <w:r w:rsidRPr="00732A94">
              <w:rPr>
                <w:sz w:val="22"/>
                <w:szCs w:val="22"/>
                <w:lang w:eastAsia="zh-CN"/>
              </w:rPr>
              <w:t>Note: other solutions can also be studied.</w:t>
            </w:r>
          </w:p>
        </w:tc>
      </w:tr>
    </w:tbl>
    <w:p w14:paraId="4767B05E" w14:textId="77777777" w:rsidR="00E81F12" w:rsidRPr="00732A94" w:rsidRDefault="00E81F12" w:rsidP="00E81F12">
      <w:pPr>
        <w:spacing w:after="120"/>
        <w:ind w:left="0" w:firstLine="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 xml:space="preserve">Under the Rel-17 TA reporting framework, the following parameters are defined:  </w:t>
      </w:r>
    </w:p>
    <w:p w14:paraId="259CCFD6" w14:textId="77777777" w:rsidR="00E81F12" w:rsidRPr="00732A94" w:rsidRDefault="00E81F12" w:rsidP="00E81F12">
      <w:pPr>
        <w:pStyle w:val="aff"/>
        <w:numPr>
          <w:ilvl w:val="0"/>
          <w:numId w:val="21"/>
        </w:numPr>
        <w:spacing w:after="120"/>
        <w:ind w:leftChars="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 xml:space="preserve">TA report granularity: 1 ms  </w:t>
      </w:r>
    </w:p>
    <w:p w14:paraId="26C6704D" w14:textId="77777777" w:rsidR="00E81F12" w:rsidRPr="00732A94" w:rsidRDefault="00E81F12" w:rsidP="00E81F12">
      <w:pPr>
        <w:pStyle w:val="aff"/>
        <w:numPr>
          <w:ilvl w:val="0"/>
          <w:numId w:val="21"/>
        </w:numPr>
        <w:spacing w:after="120"/>
        <w:ind w:leftChars="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 xml:space="preserve">Minimum configurable TA offset threshold: 0.5 ms  </w:t>
      </w:r>
    </w:p>
    <w:p w14:paraId="05E78E3F" w14:textId="10EE7335" w:rsidR="00E81F12" w:rsidRPr="00732A94" w:rsidRDefault="00E81F12" w:rsidP="00E81F12">
      <w:pPr>
        <w:pStyle w:val="aff"/>
        <w:numPr>
          <w:ilvl w:val="0"/>
          <w:numId w:val="21"/>
        </w:numPr>
        <w:spacing w:after="120"/>
        <w:ind w:leftChars="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lastRenderedPageBreak/>
        <w:t xml:space="preserve">HD-UE RX/TX switching time: </w:t>
      </w:r>
      <w:r w:rsidRPr="00732A94">
        <w:rPr>
          <w:rFonts w:ascii="Times New Roman" w:eastAsia="等线" w:hAnsi="Times New Roman" w:hint="eastAsia"/>
          <w:sz w:val="22"/>
          <w:szCs w:val="22"/>
          <w:lang w:val="en-US" w:eastAsia="zh-CN"/>
        </w:rPr>
        <w:t>≈</w:t>
      </w:r>
      <w:r w:rsidRPr="00732A94">
        <w:rPr>
          <w:rFonts w:ascii="Times New Roman" w:eastAsia="等线" w:hAnsi="Times New Roman"/>
          <w:sz w:val="22"/>
          <w:szCs w:val="22"/>
          <w:lang w:val="en-US" w:eastAsia="zh-CN"/>
        </w:rPr>
        <w:t xml:space="preserve">13 µs  </w:t>
      </w:r>
    </w:p>
    <w:p w14:paraId="1F48C395" w14:textId="77777777" w:rsidR="00E81F12" w:rsidRPr="00732A94" w:rsidRDefault="00E81F12" w:rsidP="00E81F12">
      <w:pPr>
        <w:spacing w:after="120"/>
        <w:ind w:left="0" w:firstLine="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 xml:space="preserve">Thus, if the gNB schedules DL and UL transmissions with a separation of </w:t>
      </w:r>
      <w:r w:rsidRPr="00732A94">
        <w:rPr>
          <w:rFonts w:ascii="Times New Roman" w:eastAsia="等线" w:hAnsi="Times New Roman" w:hint="eastAsia"/>
          <w:sz w:val="22"/>
          <w:szCs w:val="22"/>
          <w:lang w:val="en-US" w:eastAsia="zh-CN"/>
        </w:rPr>
        <w:t>≥</w:t>
      </w:r>
      <w:r w:rsidRPr="00732A94">
        <w:rPr>
          <w:rFonts w:ascii="Times New Roman" w:eastAsia="等线" w:hAnsi="Times New Roman"/>
          <w:sz w:val="22"/>
          <w:szCs w:val="22"/>
          <w:lang w:val="en-US" w:eastAsia="zh-CN"/>
        </w:rPr>
        <w:t>1.513 ms, UE-side collision can be avoided.</w:t>
      </w:r>
      <w:r w:rsidRPr="00732A94">
        <w:rPr>
          <w:rFonts w:ascii="Times New Roman" w:eastAsia="等线" w:hAnsi="Times New Roman" w:hint="eastAsia"/>
          <w:sz w:val="22"/>
          <w:szCs w:val="22"/>
          <w:lang w:val="en-US" w:eastAsia="zh-CN"/>
        </w:rPr>
        <w:t xml:space="preserve"> </w:t>
      </w:r>
      <w:r w:rsidRPr="00732A94">
        <w:rPr>
          <w:rFonts w:ascii="Times New Roman" w:eastAsia="等线" w:hAnsi="Times New Roman"/>
          <w:sz w:val="22"/>
          <w:szCs w:val="22"/>
          <w:lang w:val="en-US" w:eastAsia="zh-CN"/>
        </w:rPr>
        <w:t>However, if finer granularity (e.g., 0.25 ms) and a smaller offset threshold (e.g., 0.25 ms) are adopted, the TA reporting frequency and signaling overhead will be increased. It is not a spectrum-efficient and power-saving way.</w:t>
      </w:r>
    </w:p>
    <w:p w14:paraId="4583E38D" w14:textId="77777777" w:rsidR="00E81F12" w:rsidRPr="00732A94" w:rsidRDefault="00E81F12" w:rsidP="00E81F12">
      <w:pPr>
        <w:spacing w:after="120"/>
        <w:ind w:left="0" w:firstLine="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With regard to UE-triggered collision-based reporting, new gNB-triggered TA reporting mechanisms, and TA drifting rate reporting, in our view, these approaches introduce significant UE implementation complexity and cost. Furthermore, it remains uncertain whether the gNB can accurately derive the true TA from a reported drifting rate.</w:t>
      </w:r>
    </w:p>
    <w:p w14:paraId="6FBD6971" w14:textId="301B6B70" w:rsidR="00E81F12" w:rsidRPr="00732A94" w:rsidRDefault="00E81F12" w:rsidP="00E81F12">
      <w:pPr>
        <w:spacing w:after="120"/>
        <w:ind w:left="0" w:firstLine="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 xml:space="preserve">Besides, during the Rel-19 </w:t>
      </w:r>
      <w:r w:rsidR="006464E4">
        <w:rPr>
          <w:rFonts w:ascii="Times New Roman" w:eastAsia="等线" w:hAnsi="Times New Roman"/>
          <w:sz w:val="22"/>
          <w:szCs w:val="22"/>
          <w:lang w:val="en-US" w:eastAsia="zh-CN"/>
        </w:rPr>
        <w:t xml:space="preserve">WI </w:t>
      </w:r>
      <w:r w:rsidRPr="00732A94">
        <w:rPr>
          <w:rFonts w:ascii="Times New Roman" w:eastAsia="等线" w:hAnsi="Times New Roman"/>
          <w:sz w:val="22"/>
          <w:szCs w:val="22"/>
          <w:lang w:val="en-US" w:eastAsia="zh-CN"/>
        </w:rPr>
        <w:t xml:space="preserve">phase, UE behavior for Case 3 and Case 4 in NTN has already been well-defined:  </w:t>
      </w:r>
    </w:p>
    <w:p w14:paraId="5083105B" w14:textId="311694C6" w:rsidR="00E81F12" w:rsidRPr="00732A94" w:rsidRDefault="00E81F12" w:rsidP="00E81F12">
      <w:pPr>
        <w:numPr>
          <w:ilvl w:val="0"/>
          <w:numId w:val="20"/>
        </w:numPr>
        <w:spacing w:after="12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The UE defaults to DL priority, with specified handling for exceptional scenarios (e.g., Type 0/0A or Type 1/2 PDCCH C</w:t>
      </w:r>
      <w:r w:rsidR="006464E4">
        <w:rPr>
          <w:rFonts w:ascii="Times New Roman" w:eastAsia="等线" w:hAnsi="Times New Roman"/>
          <w:sz w:val="22"/>
          <w:szCs w:val="22"/>
          <w:lang w:val="en-US" w:eastAsia="zh-CN"/>
        </w:rPr>
        <w:t>SS</w:t>
      </w:r>
      <w:r w:rsidRPr="00732A94">
        <w:rPr>
          <w:rFonts w:ascii="Times New Roman" w:eastAsia="等线" w:hAnsi="Times New Roman"/>
          <w:sz w:val="22"/>
          <w:szCs w:val="22"/>
          <w:lang w:val="en-US" w:eastAsia="zh-CN"/>
        </w:rPr>
        <w:t xml:space="preserve"> in RRC_CONNECTED mode).  </w:t>
      </w:r>
    </w:p>
    <w:p w14:paraId="4F175A16" w14:textId="77777777" w:rsidR="00E81F12" w:rsidRPr="00732A94" w:rsidRDefault="00E81F12" w:rsidP="00E81F12">
      <w:pPr>
        <w:numPr>
          <w:ilvl w:val="0"/>
          <w:numId w:val="20"/>
        </w:numPr>
        <w:spacing w:after="12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For Case 3 in the inactive state (as agreed in RAN1#120), resolution of collisions between CG-SDT PUSCH and CSS is left to UE implementation.</w:t>
      </w:r>
    </w:p>
    <w:p w14:paraId="4DE7CE77" w14:textId="77777777" w:rsidR="00E81F12" w:rsidRPr="00732A94" w:rsidRDefault="00E81F12" w:rsidP="00E81F12">
      <w:pPr>
        <w:spacing w:after="120"/>
        <w:ind w:left="0" w:firstLine="0"/>
        <w:jc w:val="both"/>
        <w:rPr>
          <w:rFonts w:ascii="Times New Roman" w:eastAsia="等线" w:hAnsi="Times New Roman"/>
          <w:sz w:val="22"/>
          <w:szCs w:val="22"/>
          <w:lang w:val="en-US" w:eastAsia="zh-CN"/>
        </w:rPr>
      </w:pPr>
      <w:r w:rsidRPr="00732A94">
        <w:rPr>
          <w:rFonts w:ascii="Times New Roman" w:eastAsia="等线" w:hAnsi="Times New Roman"/>
          <w:sz w:val="22"/>
          <w:szCs w:val="22"/>
          <w:lang w:val="en-US" w:eastAsia="zh-CN"/>
        </w:rPr>
        <w:t>Given reasons as above, introducing further enhancements to the TA reporting mechanism during the maintenance phase seems over-optimization and is therefore unnecessary.</w:t>
      </w:r>
    </w:p>
    <w:p w14:paraId="3906F761" w14:textId="77777777" w:rsidR="0076743F" w:rsidRPr="00E81F12" w:rsidRDefault="0076743F" w:rsidP="00C60117">
      <w:pPr>
        <w:rPr>
          <w:rFonts w:eastAsiaTheme="minorEastAsia"/>
          <w:i/>
          <w:iCs/>
          <w:lang w:val="en-US" w:eastAsia="zh-CN"/>
        </w:rPr>
      </w:pPr>
    </w:p>
    <w:p w14:paraId="514F0219" w14:textId="42A66864" w:rsidR="0076743F" w:rsidRDefault="0076743F" w:rsidP="00E81F12">
      <w:pPr>
        <w:ind w:left="0" w:firstLine="0"/>
        <w:jc w:val="both"/>
        <w:rPr>
          <w:rFonts w:ascii="Times New Roman" w:eastAsia="宋体" w:hAnsi="Times New Roman"/>
          <w:b/>
          <w:bCs/>
          <w:color w:val="000000"/>
          <w:sz w:val="22"/>
          <w:szCs w:val="22"/>
          <w:lang w:eastAsia="zh-CN"/>
        </w:rPr>
      </w:pPr>
      <w:r w:rsidRPr="00E81F12">
        <w:rPr>
          <w:rFonts w:ascii="Times New Roman" w:eastAsia="宋体" w:hAnsi="Times New Roman"/>
          <w:b/>
          <w:bCs/>
          <w:color w:val="000000"/>
          <w:sz w:val="22"/>
          <w:szCs w:val="22"/>
          <w:lang w:eastAsia="zh-CN"/>
        </w:rPr>
        <w:t>P</w:t>
      </w:r>
      <w:r w:rsidRPr="00E81F12">
        <w:rPr>
          <w:rFonts w:ascii="Times New Roman" w:eastAsia="宋体" w:hAnsi="Times New Roman" w:hint="eastAsia"/>
          <w:b/>
          <w:bCs/>
          <w:color w:val="000000"/>
          <w:sz w:val="22"/>
          <w:szCs w:val="22"/>
          <w:lang w:eastAsia="zh-CN"/>
        </w:rPr>
        <w:t>roposal</w:t>
      </w:r>
      <w:r w:rsidR="00E81F12">
        <w:rPr>
          <w:rFonts w:ascii="Times New Roman" w:eastAsia="宋体" w:hAnsi="Times New Roman"/>
          <w:b/>
          <w:bCs/>
          <w:color w:val="000000"/>
          <w:sz w:val="22"/>
          <w:szCs w:val="22"/>
          <w:lang w:eastAsia="zh-CN"/>
        </w:rPr>
        <w:t xml:space="preserve"> </w:t>
      </w:r>
      <w:r w:rsidR="007836C0">
        <w:rPr>
          <w:rFonts w:ascii="Times New Roman" w:eastAsia="宋体" w:hAnsi="Times New Roman"/>
          <w:b/>
          <w:bCs/>
          <w:color w:val="000000"/>
          <w:sz w:val="22"/>
          <w:szCs w:val="22"/>
          <w:lang w:eastAsia="zh-CN"/>
        </w:rPr>
        <w:t>2</w:t>
      </w:r>
      <w:r w:rsidRPr="00E81F12">
        <w:rPr>
          <w:rFonts w:ascii="Times New Roman" w:eastAsia="宋体" w:hAnsi="Times New Roman" w:hint="eastAsia"/>
          <w:b/>
          <w:bCs/>
          <w:color w:val="000000"/>
          <w:sz w:val="22"/>
          <w:szCs w:val="22"/>
          <w:lang w:eastAsia="zh-CN"/>
        </w:rPr>
        <w:t>:</w:t>
      </w:r>
      <w:r w:rsidRPr="00E81F12">
        <w:rPr>
          <w:rFonts w:ascii="Times New Roman" w:eastAsia="宋体" w:hAnsi="Times New Roman"/>
          <w:b/>
          <w:bCs/>
          <w:color w:val="000000"/>
          <w:sz w:val="22"/>
          <w:szCs w:val="22"/>
          <w:lang w:eastAsia="zh-CN"/>
        </w:rPr>
        <w:t xml:space="preserve"> Don’t support any TA report enhancement during the maintenance phase. </w:t>
      </w:r>
    </w:p>
    <w:p w14:paraId="04FF98A0" w14:textId="77777777" w:rsidR="007836C0" w:rsidRPr="0076743F" w:rsidRDefault="007836C0" w:rsidP="00E81F12">
      <w:pPr>
        <w:ind w:left="0" w:firstLine="0"/>
        <w:jc w:val="both"/>
        <w:rPr>
          <w:rFonts w:eastAsiaTheme="minorEastAsia"/>
          <w:lang w:eastAsia="zh-CN"/>
        </w:rPr>
      </w:pPr>
    </w:p>
    <w:p w14:paraId="68E38BEB" w14:textId="709FB337" w:rsidR="00C60117" w:rsidRPr="00C60117" w:rsidRDefault="00C60117" w:rsidP="00C60117">
      <w:pPr>
        <w:pStyle w:val="2"/>
        <w:rPr>
          <w:rFonts w:eastAsiaTheme="minorEastAsia"/>
          <w:lang w:eastAsia="zh-CN"/>
        </w:rPr>
      </w:pPr>
      <w:r w:rsidRPr="00C60117">
        <w:rPr>
          <w:rFonts w:eastAsiaTheme="minorEastAsia" w:cs="Arial"/>
          <w:lang w:eastAsia="zh-CN"/>
        </w:rPr>
        <w:t>NR-NTN uplink capacity</w:t>
      </w:r>
      <w:r w:rsidRPr="00C60117">
        <w:rPr>
          <w:rFonts w:eastAsiaTheme="minorEastAsia" w:cs="Arial" w:hint="eastAsia"/>
          <w:lang w:eastAsia="zh-CN"/>
        </w:rPr>
        <w:t>/throughput</w:t>
      </w:r>
      <w:r w:rsidRPr="00C60117">
        <w:rPr>
          <w:rFonts w:eastAsiaTheme="minorEastAsia" w:cs="Arial"/>
          <w:lang w:eastAsia="zh-CN"/>
        </w:rPr>
        <w:t xml:space="preserve"> </w:t>
      </w:r>
      <w:r w:rsidRPr="00C60117">
        <w:rPr>
          <w:rFonts w:eastAsiaTheme="minorEastAsia" w:cs="Arial" w:hint="eastAsia"/>
          <w:lang w:eastAsia="zh-CN"/>
        </w:rPr>
        <w:t>enhancement</w:t>
      </w:r>
    </w:p>
    <w:p w14:paraId="0C11A285" w14:textId="7F91A662" w:rsidR="00DD7FF9" w:rsidRPr="00014E01" w:rsidRDefault="00DD7FF9" w:rsidP="00C60117">
      <w:pPr>
        <w:pStyle w:val="3"/>
        <w:rPr>
          <w:sz w:val="22"/>
          <w:szCs w:val="22"/>
        </w:rPr>
      </w:pPr>
      <w:r w:rsidRPr="00014E01">
        <w:rPr>
          <w:rFonts w:hint="eastAsia"/>
          <w:sz w:val="22"/>
          <w:szCs w:val="22"/>
        </w:rPr>
        <w:t>A</w:t>
      </w:r>
      <w:r w:rsidRPr="00014E01">
        <w:rPr>
          <w:sz w:val="22"/>
          <w:szCs w:val="22"/>
        </w:rPr>
        <w:t>pplicable for UEs operating in TN</w:t>
      </w:r>
    </w:p>
    <w:p w14:paraId="1FD79C87" w14:textId="685D6977" w:rsidR="00622F5B" w:rsidRPr="00622F5B" w:rsidRDefault="005A2F45" w:rsidP="00622F5B">
      <w:pPr>
        <w:ind w:left="0" w:firstLine="0"/>
        <w:jc w:val="both"/>
        <w:rPr>
          <w:rFonts w:ascii="Times New Roman" w:eastAsia="宋体" w:hAnsi="Times New Roman"/>
          <w:color w:val="000000"/>
          <w:sz w:val="22"/>
          <w:szCs w:val="22"/>
          <w:lang w:eastAsia="zh-CN"/>
        </w:rPr>
      </w:pPr>
      <w:r w:rsidRPr="005A2F45">
        <w:rPr>
          <w:rFonts w:ascii="Times New Roman" w:eastAsia="宋体" w:hAnsi="Times New Roman"/>
          <w:color w:val="000000"/>
          <w:sz w:val="22"/>
          <w:szCs w:val="22"/>
          <w:lang w:eastAsia="zh-CN"/>
        </w:rPr>
        <w:t xml:space="preserve">As illustrated in the WID below, a key issue under discussion is whether to </w:t>
      </w:r>
      <w:r>
        <w:rPr>
          <w:rFonts w:ascii="Times New Roman" w:eastAsia="宋体" w:hAnsi="Times New Roman"/>
          <w:color w:val="000000"/>
          <w:sz w:val="22"/>
          <w:szCs w:val="22"/>
          <w:lang w:eastAsia="zh-CN"/>
        </w:rPr>
        <w:t>apply</w:t>
      </w:r>
      <w:r w:rsidRPr="005A2F45">
        <w:rPr>
          <w:rFonts w:ascii="Times New Roman" w:eastAsia="宋体" w:hAnsi="Times New Roman"/>
          <w:color w:val="000000"/>
          <w:sz w:val="22"/>
          <w:szCs w:val="22"/>
          <w:lang w:eastAsia="zh-CN"/>
        </w:rPr>
        <w:t xml:space="preserve"> inter-slot OCC multiplexing for UEs operating in TN based on a common design framework. From a normative work standpoint, there is currently no evidence of specialized inter-slot OCC multiplexing designs t</w:t>
      </w:r>
      <w:r w:rsidR="008571BB">
        <w:rPr>
          <w:rFonts w:ascii="Times New Roman" w:eastAsia="宋体" w:hAnsi="Times New Roman"/>
          <w:color w:val="000000"/>
          <w:sz w:val="22"/>
          <w:szCs w:val="22"/>
          <w:lang w:eastAsia="zh-CN"/>
        </w:rPr>
        <w:t>argeting</w:t>
      </w:r>
      <w:r w:rsidRPr="005A2F45">
        <w:rPr>
          <w:rFonts w:ascii="Times New Roman" w:eastAsia="宋体" w:hAnsi="Times New Roman"/>
          <w:color w:val="000000"/>
          <w:sz w:val="22"/>
          <w:szCs w:val="22"/>
          <w:lang w:eastAsia="zh-CN"/>
        </w:rPr>
        <w:t xml:space="preserve"> explicitly for TN scenarios. Therefore, it is reasonable to conclude that inter-slot OCC multiplexing can be applied to UEs operating in TN under the existing common design principles. However, this </w:t>
      </w:r>
      <w:r w:rsidR="008571BB">
        <w:rPr>
          <w:rFonts w:ascii="Times New Roman" w:eastAsia="宋体" w:hAnsi="Times New Roman"/>
          <w:color w:val="000000"/>
          <w:sz w:val="22"/>
          <w:szCs w:val="22"/>
          <w:lang w:eastAsia="zh-CN"/>
        </w:rPr>
        <w:t>conclusion</w:t>
      </w:r>
      <w:r w:rsidRPr="005A2F45">
        <w:rPr>
          <w:rFonts w:ascii="Times New Roman" w:eastAsia="宋体" w:hAnsi="Times New Roman"/>
          <w:color w:val="000000"/>
          <w:sz w:val="22"/>
          <w:szCs w:val="22"/>
          <w:lang w:eastAsia="zh-CN"/>
        </w:rPr>
        <w:t xml:space="preserve"> may have </w:t>
      </w:r>
      <w:r w:rsidR="008571BB">
        <w:rPr>
          <w:rFonts w:ascii="Times New Roman" w:eastAsia="宋体" w:hAnsi="Times New Roman"/>
          <w:color w:val="000000"/>
          <w:sz w:val="22"/>
          <w:szCs w:val="22"/>
          <w:lang w:eastAsia="zh-CN"/>
        </w:rPr>
        <w:t>impact on</w:t>
      </w:r>
      <w:r w:rsidRPr="005A2F45">
        <w:rPr>
          <w:rFonts w:ascii="Times New Roman" w:eastAsia="宋体" w:hAnsi="Times New Roman"/>
          <w:color w:val="000000"/>
          <w:sz w:val="22"/>
          <w:szCs w:val="22"/>
          <w:lang w:eastAsia="zh-CN"/>
        </w:rPr>
        <w:t xml:space="preserve"> the UE feature description and require corresponding updates.</w:t>
      </w:r>
    </w:p>
    <w:tbl>
      <w:tblPr>
        <w:tblStyle w:val="af1"/>
        <w:tblW w:w="0" w:type="auto"/>
        <w:jc w:val="center"/>
        <w:tblLook w:val="04A0" w:firstRow="1" w:lastRow="0" w:firstColumn="1" w:lastColumn="0" w:noHBand="0" w:noVBand="1"/>
      </w:tblPr>
      <w:tblGrid>
        <w:gridCol w:w="9631"/>
      </w:tblGrid>
      <w:tr w:rsidR="00622F5B" w:rsidRPr="006E429D" w14:paraId="76EE9E67" w14:textId="77777777" w:rsidTr="00622F5B">
        <w:trPr>
          <w:jc w:val="center"/>
        </w:trPr>
        <w:tc>
          <w:tcPr>
            <w:tcW w:w="9631" w:type="dxa"/>
          </w:tcPr>
          <w:p w14:paraId="3B3FC0B7" w14:textId="77777777" w:rsidR="00622F5B" w:rsidRPr="006E429D" w:rsidRDefault="00622F5B" w:rsidP="00622F5B">
            <w:pPr>
              <w:overflowPunct w:val="0"/>
              <w:autoSpaceDE w:val="0"/>
              <w:autoSpaceDN w:val="0"/>
              <w:adjustRightInd w:val="0"/>
              <w:spacing w:line="276" w:lineRule="auto"/>
              <w:textAlignment w:val="baseline"/>
              <w:rPr>
                <w:rFonts w:eastAsia="Calibri"/>
                <w:sz w:val="22"/>
                <w:szCs w:val="22"/>
                <w:lang w:val="en-US" w:eastAsia="ko-KR"/>
              </w:rPr>
            </w:pPr>
            <w:r w:rsidRPr="006E429D">
              <w:rPr>
                <w:rFonts w:eastAsia="Calibri"/>
                <w:sz w:val="22"/>
                <w:szCs w:val="22"/>
                <w:lang w:val="en-US" w:eastAsia="ko-KR"/>
              </w:rPr>
              <w:t>Uplink Capacity/Cell Throughput Enhancement for FR1-NTN [RAN1, RAN2, RAN4]</w:t>
            </w:r>
          </w:p>
          <w:p w14:paraId="17D10A85" w14:textId="77777777" w:rsidR="00622F5B" w:rsidRPr="006E429D" w:rsidRDefault="00622F5B" w:rsidP="00A42D91">
            <w:pPr>
              <w:pStyle w:val="aff"/>
              <w:widowControl w:val="0"/>
              <w:numPr>
                <w:ilvl w:val="0"/>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 xml:space="preserve">Specify Orthogonal Cover Codes (OCC) for DFT-s-OFDM PUSCH at least for multiplexing 2 or 4 UEs when PUSCH repetitions are used </w:t>
            </w:r>
          </w:p>
          <w:p w14:paraId="498D4238"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 xml:space="preserve">Specify necessary signalling </w:t>
            </w:r>
          </w:p>
          <w:p w14:paraId="4B323722"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Update RF requirements accordingly, if needed</w:t>
            </w:r>
          </w:p>
          <w:p w14:paraId="6079F68E" w14:textId="77777777" w:rsidR="00622F5B" w:rsidRPr="006E429D" w:rsidRDefault="00622F5B" w:rsidP="00A42D91">
            <w:pPr>
              <w:pStyle w:val="aff"/>
              <w:widowControl w:val="0"/>
              <w:numPr>
                <w:ilvl w:val="0"/>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Notes for this objective:</w:t>
            </w:r>
          </w:p>
          <w:p w14:paraId="41F4924F"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The enhancement is not targeting improvements/impacts of MU-MIMO capability</w:t>
            </w:r>
          </w:p>
          <w:p w14:paraId="5E9DA9AE"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The enhancement is not targeted to PUSCH DMRS</w:t>
            </w:r>
          </w:p>
          <w:p w14:paraId="61834EE7"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No enhancement for initial access</w:t>
            </w:r>
          </w:p>
          <w:p w14:paraId="0576D3D5"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Enhancements to PRACH are not in scope.</w:t>
            </w:r>
          </w:p>
          <w:p w14:paraId="3AA932AC"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highlight w:val="green"/>
              </w:rPr>
            </w:pPr>
            <w:r w:rsidRPr="006E429D">
              <w:rPr>
                <w:rFonts w:ascii="Times New Roman" w:hAnsi="Times New Roman"/>
                <w:sz w:val="22"/>
                <w:szCs w:val="22"/>
                <w:highlight w:val="green"/>
              </w:rPr>
              <w:t>This feature may be applicable for UEs operating in terrestrial networks based on a common design</w:t>
            </w:r>
          </w:p>
          <w:p w14:paraId="42594D13" w14:textId="77777777" w:rsidR="00622F5B" w:rsidRPr="006E429D" w:rsidRDefault="00622F5B" w:rsidP="00622F5B">
            <w:pPr>
              <w:ind w:left="0" w:firstLine="0"/>
              <w:rPr>
                <w:rFonts w:eastAsiaTheme="minorEastAsia"/>
                <w:sz w:val="22"/>
                <w:szCs w:val="22"/>
                <w:lang w:eastAsia="zh-CN"/>
              </w:rPr>
            </w:pPr>
          </w:p>
        </w:tc>
      </w:tr>
    </w:tbl>
    <w:p w14:paraId="3FC46F58" w14:textId="77777777" w:rsidR="00622F5B" w:rsidRPr="00622F5B" w:rsidRDefault="00622F5B" w:rsidP="00622F5B">
      <w:pPr>
        <w:rPr>
          <w:rFonts w:eastAsiaTheme="minorEastAsia"/>
          <w:lang w:eastAsia="zh-CN"/>
        </w:rPr>
      </w:pPr>
    </w:p>
    <w:p w14:paraId="2EE40D56" w14:textId="7307DFB9" w:rsidR="00DD7FF9" w:rsidRDefault="00DD7FF9" w:rsidP="00622F5B">
      <w:pPr>
        <w:ind w:left="0" w:firstLine="0"/>
        <w:jc w:val="both"/>
        <w:rPr>
          <w:rFonts w:ascii="Times New Roman" w:eastAsia="宋体" w:hAnsi="Times New Roman"/>
          <w:b/>
          <w:bCs/>
          <w:color w:val="000000"/>
          <w:sz w:val="22"/>
          <w:szCs w:val="22"/>
          <w:lang w:eastAsia="zh-CN"/>
        </w:rPr>
      </w:pPr>
      <w:r w:rsidRPr="00622F5B">
        <w:rPr>
          <w:rFonts w:ascii="Times New Roman" w:eastAsia="宋体" w:hAnsi="Times New Roman"/>
          <w:b/>
          <w:bCs/>
          <w:color w:val="000000"/>
          <w:sz w:val="22"/>
          <w:szCs w:val="22"/>
          <w:lang w:eastAsia="zh-CN"/>
        </w:rPr>
        <w:t>P</w:t>
      </w:r>
      <w:r w:rsidRPr="00622F5B">
        <w:rPr>
          <w:rFonts w:ascii="Times New Roman" w:eastAsia="宋体" w:hAnsi="Times New Roman" w:hint="eastAsia"/>
          <w:b/>
          <w:bCs/>
          <w:color w:val="000000"/>
          <w:sz w:val="22"/>
          <w:szCs w:val="22"/>
          <w:lang w:eastAsia="zh-CN"/>
        </w:rPr>
        <w:t>roposal</w:t>
      </w:r>
      <w:r w:rsidRPr="00622F5B">
        <w:rPr>
          <w:rFonts w:ascii="Times New Roman" w:eastAsia="宋体" w:hAnsi="Times New Roman"/>
          <w:b/>
          <w:bCs/>
          <w:color w:val="000000"/>
          <w:sz w:val="22"/>
          <w:szCs w:val="22"/>
          <w:lang w:eastAsia="zh-CN"/>
        </w:rPr>
        <w:t xml:space="preserve"> </w:t>
      </w:r>
      <w:r w:rsidR="007836C0">
        <w:rPr>
          <w:rFonts w:ascii="Times New Roman" w:eastAsia="宋体" w:hAnsi="Times New Roman"/>
          <w:b/>
          <w:bCs/>
          <w:color w:val="000000"/>
          <w:sz w:val="22"/>
          <w:szCs w:val="22"/>
          <w:lang w:eastAsia="zh-CN"/>
        </w:rPr>
        <w:t>3</w:t>
      </w:r>
      <w:r w:rsidRPr="00622F5B">
        <w:rPr>
          <w:rFonts w:ascii="Times New Roman" w:eastAsia="宋体" w:hAnsi="Times New Roman" w:hint="eastAsia"/>
          <w:b/>
          <w:bCs/>
          <w:color w:val="000000"/>
          <w:sz w:val="22"/>
          <w:szCs w:val="22"/>
          <w:lang w:eastAsia="zh-CN"/>
        </w:rPr>
        <w:t>:</w:t>
      </w:r>
      <w:r w:rsidRPr="00622F5B">
        <w:rPr>
          <w:rFonts w:ascii="Times New Roman" w:eastAsia="宋体" w:hAnsi="Times New Roman"/>
          <w:b/>
          <w:bCs/>
          <w:color w:val="000000"/>
          <w:sz w:val="22"/>
          <w:szCs w:val="22"/>
          <w:lang w:eastAsia="zh-CN"/>
        </w:rPr>
        <w:t xml:space="preserve"> </w:t>
      </w:r>
      <w:r w:rsidR="00622F5B" w:rsidRPr="00622F5B">
        <w:rPr>
          <w:rFonts w:ascii="Times New Roman" w:eastAsia="宋体" w:hAnsi="Times New Roman"/>
          <w:b/>
          <w:bCs/>
          <w:color w:val="000000"/>
          <w:sz w:val="22"/>
          <w:szCs w:val="22"/>
          <w:lang w:eastAsia="zh-CN"/>
        </w:rPr>
        <w:t xml:space="preserve">Support inter-slot OCC multiplexing for UEs operating in TN based on a common design. </w:t>
      </w:r>
    </w:p>
    <w:p w14:paraId="1C28EF59" w14:textId="23B086B3" w:rsidR="00622F5B" w:rsidRPr="00DC1FD9" w:rsidRDefault="00622F5B" w:rsidP="00DC1FD9">
      <w:pPr>
        <w:rPr>
          <w:lang w:eastAsia="zh-CN"/>
        </w:rPr>
      </w:pPr>
      <w:bookmarkStart w:id="7" w:name="_Hlk189813921"/>
    </w:p>
    <w:bookmarkEnd w:id="7"/>
    <w:p w14:paraId="4C21C328" w14:textId="1041F52C" w:rsidR="00B91AC3" w:rsidRPr="00014E01" w:rsidRDefault="00775BCB" w:rsidP="00C60117">
      <w:pPr>
        <w:pStyle w:val="3"/>
        <w:rPr>
          <w:sz w:val="22"/>
          <w:szCs w:val="22"/>
        </w:rPr>
      </w:pPr>
      <w:r w:rsidRPr="00014E01">
        <w:rPr>
          <w:rFonts w:hint="eastAsia"/>
          <w:sz w:val="22"/>
          <w:szCs w:val="22"/>
        </w:rPr>
        <w:t>R</w:t>
      </w:r>
      <w:r w:rsidRPr="00014E01">
        <w:rPr>
          <w:sz w:val="22"/>
          <w:szCs w:val="22"/>
        </w:rPr>
        <w:t xml:space="preserve">V </w:t>
      </w:r>
      <w:r w:rsidR="00DC1FD9" w:rsidRPr="00014E01">
        <w:rPr>
          <w:sz w:val="22"/>
          <w:szCs w:val="22"/>
        </w:rPr>
        <w:t>counting</w:t>
      </w:r>
      <w:r w:rsidR="00401EE1" w:rsidRPr="00014E01">
        <w:rPr>
          <w:sz w:val="22"/>
          <w:szCs w:val="22"/>
        </w:rPr>
        <w:t xml:space="preserve"> upon OCC group(s) drop</w:t>
      </w:r>
      <w:r w:rsidR="00DC1FD9" w:rsidRPr="00014E01">
        <w:rPr>
          <w:sz w:val="22"/>
          <w:szCs w:val="22"/>
        </w:rPr>
        <w:t>ping</w:t>
      </w:r>
      <w:r w:rsidR="00401EE1" w:rsidRPr="00014E01">
        <w:rPr>
          <w:sz w:val="22"/>
          <w:szCs w:val="22"/>
        </w:rPr>
        <w:t xml:space="preserve"> </w:t>
      </w:r>
    </w:p>
    <w:p w14:paraId="46BC3E6A" w14:textId="456967FF" w:rsidR="00401EE1" w:rsidRDefault="00401EE1" w:rsidP="00401EE1">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I</w:t>
      </w:r>
      <w:r>
        <w:rPr>
          <w:rFonts w:ascii="Times New Roman" w:eastAsia="宋体" w:hAnsi="Times New Roman"/>
          <w:color w:val="000000"/>
          <w:sz w:val="22"/>
          <w:szCs w:val="22"/>
          <w:lang w:eastAsia="zh-CN"/>
        </w:rPr>
        <w:t xml:space="preserve">n RAN1 #120bis meeting, it was agreed that OCC group(s) may be dropped according to the legacy rules for single-UE transmission, when there is overlapping between PUCCH and PUSCH. For example, when the PUCCH has a higher priority than the overlapping PUSCH, or the PUCCH carrying SR occurring with the </w:t>
      </w:r>
      <w:r>
        <w:rPr>
          <w:rFonts w:ascii="Times New Roman" w:eastAsia="宋体" w:hAnsi="Times New Roman"/>
          <w:color w:val="000000"/>
          <w:sz w:val="22"/>
          <w:szCs w:val="22"/>
          <w:lang w:eastAsia="zh-CN"/>
        </w:rPr>
        <w:lastRenderedPageBreak/>
        <w:t>PUSCH without UL-SCH data</w:t>
      </w:r>
      <w:r w:rsidR="00FE602A">
        <w:rPr>
          <w:rFonts w:ascii="Times New Roman" w:eastAsia="宋体" w:hAnsi="Times New Roman"/>
          <w:color w:val="000000"/>
          <w:sz w:val="22"/>
          <w:szCs w:val="22"/>
          <w:lang w:eastAsia="zh-CN"/>
        </w:rPr>
        <w:t>, the whole number of repetitions within the OCC group will be dropped</w:t>
      </w:r>
      <w:r>
        <w:rPr>
          <w:rFonts w:ascii="Times New Roman" w:eastAsia="宋体" w:hAnsi="Times New Roman"/>
          <w:color w:val="000000"/>
          <w:sz w:val="22"/>
          <w:szCs w:val="22"/>
          <w:lang w:eastAsia="zh-CN"/>
        </w:rPr>
        <w:t>. In this way, one issue needs to be considered is how to determine the RV for the subsequent OCC group</w:t>
      </w:r>
      <w:r w:rsidR="00FE602A">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s</w:t>
      </w:r>
      <w:r w:rsidR="00FE602A">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 xml:space="preserve"> transmission. </w:t>
      </w:r>
      <w:r w:rsidR="00FE602A">
        <w:rPr>
          <w:rFonts w:ascii="Times New Roman" w:eastAsia="宋体" w:hAnsi="Times New Roman"/>
          <w:color w:val="000000"/>
          <w:sz w:val="22"/>
          <w:szCs w:val="22"/>
          <w:lang w:eastAsia="zh-CN"/>
        </w:rPr>
        <w:t>Given</w:t>
      </w:r>
      <w:r>
        <w:rPr>
          <w:rFonts w:ascii="Times New Roman" w:eastAsia="宋体" w:hAnsi="Times New Roman"/>
          <w:color w:val="000000"/>
          <w:sz w:val="22"/>
          <w:szCs w:val="22"/>
          <w:lang w:eastAsia="zh-CN"/>
        </w:rPr>
        <w:t xml:space="preserve"> the limited number of repetitions, and the </w:t>
      </w:r>
      <w:r w:rsidR="00FE602A">
        <w:rPr>
          <w:rFonts w:ascii="Times New Roman" w:eastAsia="宋体" w:hAnsi="Times New Roman"/>
          <w:color w:val="000000"/>
          <w:sz w:val="22"/>
          <w:szCs w:val="22"/>
          <w:lang w:eastAsia="zh-CN"/>
        </w:rPr>
        <w:t xml:space="preserve">extended </w:t>
      </w:r>
      <w:r>
        <w:rPr>
          <w:rFonts w:ascii="Times New Roman" w:eastAsia="宋体" w:hAnsi="Times New Roman"/>
          <w:color w:val="000000"/>
          <w:sz w:val="22"/>
          <w:szCs w:val="22"/>
          <w:lang w:eastAsia="zh-CN"/>
        </w:rPr>
        <w:t xml:space="preserve">duration of </w:t>
      </w:r>
      <w:r w:rsidR="00FE602A">
        <w:rPr>
          <w:rFonts w:ascii="Times New Roman" w:eastAsia="宋体" w:hAnsi="Times New Roman"/>
          <w:color w:val="000000"/>
          <w:sz w:val="22"/>
          <w:szCs w:val="22"/>
          <w:lang w:eastAsia="zh-CN"/>
        </w:rPr>
        <w:t>dropped PUSCH repetitions</w:t>
      </w:r>
      <w:r>
        <w:rPr>
          <w:rFonts w:ascii="Times New Roman" w:eastAsia="宋体" w:hAnsi="Times New Roman"/>
          <w:color w:val="000000"/>
          <w:sz w:val="22"/>
          <w:szCs w:val="22"/>
          <w:lang w:eastAsia="zh-CN"/>
        </w:rPr>
        <w:t xml:space="preserve">, we </w:t>
      </w:r>
      <w:r w:rsidR="00FE602A">
        <w:rPr>
          <w:rFonts w:ascii="Times New Roman" w:eastAsia="宋体" w:hAnsi="Times New Roman"/>
          <w:color w:val="000000"/>
          <w:sz w:val="22"/>
          <w:szCs w:val="22"/>
          <w:lang w:eastAsia="zh-CN"/>
        </w:rPr>
        <w:t>prefer to</w:t>
      </w:r>
      <w:r>
        <w:rPr>
          <w:rFonts w:ascii="Times New Roman" w:eastAsia="宋体" w:hAnsi="Times New Roman"/>
          <w:color w:val="000000"/>
          <w:sz w:val="22"/>
          <w:szCs w:val="22"/>
          <w:lang w:eastAsia="zh-CN"/>
        </w:rPr>
        <w:t xml:space="preserve"> </w:t>
      </w:r>
      <w:r w:rsidR="00FE602A">
        <w:rPr>
          <w:rFonts w:ascii="Times New Roman" w:eastAsia="宋体" w:hAnsi="Times New Roman"/>
          <w:color w:val="000000"/>
          <w:sz w:val="22"/>
          <w:szCs w:val="22"/>
          <w:lang w:eastAsia="zh-CN"/>
        </w:rPr>
        <w:t>defer</w:t>
      </w:r>
      <w:r>
        <w:rPr>
          <w:rFonts w:ascii="Times New Roman" w:eastAsia="宋体" w:hAnsi="Times New Roman"/>
          <w:color w:val="000000"/>
          <w:sz w:val="22"/>
          <w:szCs w:val="22"/>
          <w:lang w:eastAsia="zh-CN"/>
        </w:rPr>
        <w:t xml:space="preserve"> the RV for the follow-u</w:t>
      </w:r>
      <w:r w:rsidR="00FE602A">
        <w:rPr>
          <w:rFonts w:ascii="Times New Roman" w:eastAsia="宋体" w:hAnsi="Times New Roman"/>
          <w:color w:val="000000"/>
          <w:sz w:val="22"/>
          <w:szCs w:val="22"/>
          <w:lang w:eastAsia="zh-CN"/>
        </w:rPr>
        <w:t>p</w:t>
      </w:r>
      <w:r>
        <w:rPr>
          <w:rFonts w:ascii="Times New Roman" w:eastAsia="宋体" w:hAnsi="Times New Roman"/>
          <w:color w:val="000000"/>
          <w:sz w:val="22"/>
          <w:szCs w:val="22"/>
          <w:lang w:eastAsia="zh-CN"/>
        </w:rPr>
        <w:t xml:space="preserve"> OCC group</w:t>
      </w:r>
      <w:r w:rsidR="00FE602A">
        <w:rPr>
          <w:rFonts w:ascii="Times New Roman" w:eastAsia="宋体" w:hAnsi="Times New Roman"/>
          <w:color w:val="000000"/>
          <w:sz w:val="22"/>
          <w:szCs w:val="22"/>
          <w:lang w:eastAsia="zh-CN"/>
        </w:rPr>
        <w:t>(s)</w:t>
      </w:r>
      <w:r>
        <w:rPr>
          <w:rFonts w:ascii="Times New Roman" w:eastAsia="宋体" w:hAnsi="Times New Roman"/>
          <w:color w:val="000000"/>
          <w:sz w:val="22"/>
          <w:szCs w:val="22"/>
          <w:lang w:eastAsia="zh-CN"/>
        </w:rPr>
        <w:t xml:space="preserve"> to </w:t>
      </w:r>
      <w:r w:rsidR="00FE602A">
        <w:rPr>
          <w:rFonts w:ascii="Times New Roman" w:eastAsia="宋体" w:hAnsi="Times New Roman"/>
          <w:color w:val="000000"/>
          <w:sz w:val="22"/>
          <w:szCs w:val="22"/>
          <w:lang w:eastAsia="zh-CN"/>
        </w:rPr>
        <w:t>maximize</w:t>
      </w:r>
      <w:r>
        <w:rPr>
          <w:rFonts w:ascii="Times New Roman" w:eastAsia="宋体" w:hAnsi="Times New Roman"/>
          <w:color w:val="000000"/>
          <w:sz w:val="22"/>
          <w:szCs w:val="22"/>
          <w:lang w:eastAsia="zh-CN"/>
        </w:rPr>
        <w:t xml:space="preserve"> coding gain. </w:t>
      </w:r>
    </w:p>
    <w:p w14:paraId="77C7854A" w14:textId="3C51580D" w:rsidR="00FE602A" w:rsidRDefault="00FE602A" w:rsidP="00401EE1">
      <w:pPr>
        <w:ind w:left="0" w:firstLine="0"/>
        <w:jc w:val="both"/>
        <w:rPr>
          <w:rFonts w:ascii="Times New Roman" w:eastAsia="宋体" w:hAnsi="Times New Roman"/>
          <w:color w:val="000000"/>
          <w:sz w:val="22"/>
          <w:szCs w:val="22"/>
          <w:lang w:eastAsia="zh-CN"/>
        </w:rPr>
      </w:pPr>
    </w:p>
    <w:p w14:paraId="17ABC16B" w14:textId="06097BA7" w:rsidR="00FE602A" w:rsidRDefault="00FE602A" w:rsidP="00401EE1">
      <w:pPr>
        <w:ind w:left="0" w:firstLine="0"/>
        <w:jc w:val="both"/>
        <w:rPr>
          <w:rFonts w:ascii="Times New Roman" w:eastAsia="宋体" w:hAnsi="Times New Roman"/>
          <w:b/>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sidR="007836C0">
        <w:rPr>
          <w:rFonts w:ascii="Times New Roman" w:eastAsia="宋体" w:hAnsi="Times New Roman"/>
          <w:b/>
          <w:bCs/>
          <w:color w:val="000000"/>
          <w:sz w:val="22"/>
          <w:szCs w:val="22"/>
          <w:lang w:eastAsia="zh-CN"/>
        </w:rPr>
        <w:t>4</w:t>
      </w:r>
      <w:r w:rsidRPr="00FE602A">
        <w:rPr>
          <w:rFonts w:ascii="Times New Roman" w:eastAsia="宋体" w:hAnsi="Times New Roman"/>
          <w:b/>
          <w:bCs/>
          <w:color w:val="000000"/>
          <w:sz w:val="22"/>
          <w:szCs w:val="22"/>
          <w:lang w:eastAsia="zh-CN"/>
        </w:rPr>
        <w:t>: De</w:t>
      </w:r>
      <w:r w:rsidR="00DC1FD9">
        <w:rPr>
          <w:rFonts w:ascii="Times New Roman" w:eastAsia="宋体" w:hAnsi="Times New Roman"/>
          <w:b/>
          <w:bCs/>
          <w:color w:val="000000"/>
          <w:sz w:val="22"/>
          <w:szCs w:val="22"/>
          <w:lang w:eastAsia="zh-CN"/>
        </w:rPr>
        <w:t>f</w:t>
      </w:r>
      <w:r w:rsidRPr="00FE602A">
        <w:rPr>
          <w:rFonts w:ascii="Times New Roman" w:eastAsia="宋体" w:hAnsi="Times New Roman"/>
          <w:b/>
          <w:bCs/>
          <w:color w:val="000000"/>
          <w:sz w:val="22"/>
          <w:szCs w:val="22"/>
          <w:lang w:eastAsia="zh-CN"/>
        </w:rPr>
        <w:t>er the RV for the follow-up OCC group(s) when OCC group(s) dropping is occurred.</w:t>
      </w:r>
    </w:p>
    <w:p w14:paraId="00C5D89A" w14:textId="77777777" w:rsidR="00A0069B" w:rsidRPr="007A7C0B" w:rsidRDefault="00A0069B" w:rsidP="0006320A">
      <w:pPr>
        <w:ind w:left="0" w:firstLine="0"/>
        <w:jc w:val="both"/>
        <w:rPr>
          <w:rFonts w:eastAsia="等线"/>
          <w:bCs/>
          <w:sz w:val="22"/>
          <w:szCs w:val="22"/>
          <w:lang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22094E04" w14:textId="43DAB321" w:rsidR="00287D47" w:rsidRDefault="00086BF6" w:rsidP="007836C0">
      <w:pPr>
        <w:ind w:left="0" w:firstLine="0"/>
        <w:jc w:val="both"/>
        <w:rPr>
          <w:rFonts w:ascii="Times New Roman" w:eastAsia="宋体" w:hAnsi="Times New Roman"/>
          <w:bCs/>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7836C0">
        <w:rPr>
          <w:rFonts w:ascii="Times New Roman" w:eastAsia="宋体" w:hAnsi="Times New Roman"/>
          <w:color w:val="000000"/>
          <w:sz w:val="22"/>
          <w:szCs w:val="22"/>
          <w:lang w:eastAsia="zh-CN"/>
        </w:rPr>
        <w:t>several left-over issues on NR-NTN phase 3</w:t>
      </w:r>
      <w:r w:rsidR="00293053">
        <w:rPr>
          <w:rFonts w:ascii="Times New Roman" w:eastAsia="宋体" w:hAnsi="Times New Roman"/>
          <w:color w:val="000000"/>
          <w:sz w:val="22"/>
          <w:szCs w:val="22"/>
          <w:lang w:eastAsia="zh-CN"/>
        </w:rPr>
        <w:t>.</w:t>
      </w:r>
      <w:r w:rsidRPr="003C3DEE">
        <w:rPr>
          <w:rFonts w:ascii="Times New Roman" w:eastAsia="宋体" w:hAnsi="Times New Roman"/>
          <w:bCs/>
          <w:color w:val="000000"/>
          <w:sz w:val="22"/>
          <w:szCs w:val="22"/>
          <w:lang w:eastAsia="zh-CN"/>
        </w:rPr>
        <w:t xml:space="preserve"> Based on the discussion, our views are summarized as follows.</w:t>
      </w:r>
    </w:p>
    <w:p w14:paraId="3816C8A3" w14:textId="77777777" w:rsidR="007836C0" w:rsidRPr="007836C0" w:rsidRDefault="007836C0" w:rsidP="00014E01">
      <w:pPr>
        <w:spacing w:after="100" w:afterAutospacing="1"/>
        <w:ind w:left="0" w:firstLine="0"/>
        <w:jc w:val="both"/>
        <w:rPr>
          <w:rFonts w:ascii="Times New Roman" w:eastAsia="宋体" w:hAnsi="Times New Roman"/>
          <w:bCs/>
          <w:color w:val="000000"/>
          <w:sz w:val="22"/>
          <w:szCs w:val="22"/>
          <w:lang w:eastAsia="zh-CN"/>
        </w:rPr>
      </w:pPr>
    </w:p>
    <w:p w14:paraId="527FAF46" w14:textId="77777777" w:rsidR="007836C0" w:rsidRDefault="007836C0" w:rsidP="007836C0">
      <w:pPr>
        <w:spacing w:after="100" w:afterAutospacing="1"/>
        <w:ind w:left="0" w:firstLine="0"/>
        <w:jc w:val="both"/>
        <w:rPr>
          <w:rFonts w:ascii="Times New Roman" w:eastAsia="宋体" w:hAnsi="Times New Roman"/>
          <w:b/>
          <w:bCs/>
          <w:color w:val="000000"/>
          <w:sz w:val="22"/>
          <w:szCs w:val="22"/>
          <w:lang w:eastAsia="zh-CN"/>
        </w:rPr>
      </w:pPr>
      <w:r w:rsidRPr="00FF1156">
        <w:rPr>
          <w:rFonts w:ascii="Times New Roman" w:eastAsia="宋体" w:hAnsi="Times New Roman"/>
          <w:b/>
          <w:bCs/>
          <w:color w:val="000000"/>
          <w:sz w:val="22"/>
          <w:szCs w:val="22"/>
          <w:lang w:eastAsia="zh-CN"/>
        </w:rPr>
        <w:t xml:space="preserve">Proposal </w:t>
      </w:r>
      <w:r>
        <w:rPr>
          <w:rFonts w:ascii="Times New Roman" w:eastAsia="宋体" w:hAnsi="Times New Roman"/>
          <w:b/>
          <w:bCs/>
          <w:color w:val="000000"/>
          <w:sz w:val="22"/>
          <w:szCs w:val="22"/>
          <w:lang w:eastAsia="zh-CN"/>
        </w:rPr>
        <w:t>1</w:t>
      </w:r>
      <w:r w:rsidRPr="00FF1156">
        <w:rPr>
          <w:rFonts w:ascii="Times New Roman" w:eastAsia="宋体" w:hAnsi="Times New Roman"/>
          <w:b/>
          <w:bCs/>
          <w:color w:val="000000"/>
          <w:sz w:val="22"/>
          <w:szCs w:val="22"/>
          <w:lang w:eastAsia="zh-CN"/>
        </w:rPr>
        <w:t xml:space="preserve">: Collisions among more than two channels can be avoided by gNB scheduling without any spec impact. </w:t>
      </w:r>
    </w:p>
    <w:p w14:paraId="78CD6FB8" w14:textId="77777777" w:rsidR="007836C0" w:rsidRDefault="007836C0" w:rsidP="007836C0">
      <w:pPr>
        <w:spacing w:after="100" w:afterAutospacing="1"/>
        <w:ind w:left="0" w:firstLine="0"/>
        <w:jc w:val="both"/>
        <w:rPr>
          <w:rFonts w:ascii="Times New Roman" w:eastAsia="宋体" w:hAnsi="Times New Roman"/>
          <w:b/>
          <w:bCs/>
          <w:color w:val="000000"/>
          <w:sz w:val="22"/>
          <w:szCs w:val="22"/>
          <w:lang w:eastAsia="zh-CN"/>
        </w:rPr>
      </w:pPr>
      <w:r w:rsidRPr="00E81F12">
        <w:rPr>
          <w:rFonts w:ascii="Times New Roman" w:eastAsia="宋体" w:hAnsi="Times New Roman"/>
          <w:b/>
          <w:bCs/>
          <w:color w:val="000000"/>
          <w:sz w:val="22"/>
          <w:szCs w:val="22"/>
          <w:lang w:eastAsia="zh-CN"/>
        </w:rPr>
        <w:t>P</w:t>
      </w:r>
      <w:r w:rsidRPr="00E81F12">
        <w:rPr>
          <w:rFonts w:ascii="Times New Roman" w:eastAsia="宋体" w:hAnsi="Times New Roman" w:hint="eastAsia"/>
          <w:b/>
          <w:bCs/>
          <w:color w:val="000000"/>
          <w:sz w:val="22"/>
          <w:szCs w:val="22"/>
          <w:lang w:eastAsia="zh-CN"/>
        </w:rPr>
        <w:t>roposal</w:t>
      </w:r>
      <w:r>
        <w:rPr>
          <w:rFonts w:ascii="Times New Roman" w:eastAsia="宋体" w:hAnsi="Times New Roman"/>
          <w:b/>
          <w:bCs/>
          <w:color w:val="000000"/>
          <w:sz w:val="22"/>
          <w:szCs w:val="22"/>
          <w:lang w:eastAsia="zh-CN"/>
        </w:rPr>
        <w:t xml:space="preserve"> 2</w:t>
      </w:r>
      <w:r w:rsidRPr="00E81F12">
        <w:rPr>
          <w:rFonts w:ascii="Times New Roman" w:eastAsia="宋体" w:hAnsi="Times New Roman" w:hint="eastAsia"/>
          <w:b/>
          <w:bCs/>
          <w:color w:val="000000"/>
          <w:sz w:val="22"/>
          <w:szCs w:val="22"/>
          <w:lang w:eastAsia="zh-CN"/>
        </w:rPr>
        <w:t>:</w:t>
      </w:r>
      <w:r w:rsidRPr="00E81F12">
        <w:rPr>
          <w:rFonts w:ascii="Times New Roman" w:eastAsia="宋体" w:hAnsi="Times New Roman"/>
          <w:b/>
          <w:bCs/>
          <w:color w:val="000000"/>
          <w:sz w:val="22"/>
          <w:szCs w:val="22"/>
          <w:lang w:eastAsia="zh-CN"/>
        </w:rPr>
        <w:t xml:space="preserve"> Don’t support any TA report enhancement during the maintenance phase. </w:t>
      </w:r>
    </w:p>
    <w:p w14:paraId="5375C7B0" w14:textId="40FE415A" w:rsidR="007836C0" w:rsidRDefault="007836C0" w:rsidP="007836C0">
      <w:pPr>
        <w:spacing w:after="100" w:afterAutospacing="1"/>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t>P</w:t>
      </w:r>
      <w:r w:rsidRPr="00622F5B">
        <w:rPr>
          <w:rFonts w:ascii="Times New Roman" w:eastAsia="宋体" w:hAnsi="Times New Roman" w:hint="eastAsia"/>
          <w:b/>
          <w:bCs/>
          <w:color w:val="000000"/>
          <w:sz w:val="22"/>
          <w:szCs w:val="22"/>
          <w:lang w:eastAsia="zh-CN"/>
        </w:rPr>
        <w:t>roposal</w:t>
      </w:r>
      <w:r w:rsidRPr="00622F5B">
        <w:rPr>
          <w:rFonts w:ascii="Times New Roman" w:eastAsia="宋体" w:hAnsi="Times New Roman"/>
          <w:b/>
          <w:bCs/>
          <w:color w:val="000000"/>
          <w:sz w:val="22"/>
          <w:szCs w:val="22"/>
          <w:lang w:eastAsia="zh-CN"/>
        </w:rPr>
        <w:t xml:space="preserve"> </w:t>
      </w:r>
      <w:r>
        <w:rPr>
          <w:rFonts w:ascii="Times New Roman" w:eastAsia="宋体" w:hAnsi="Times New Roman"/>
          <w:b/>
          <w:bCs/>
          <w:color w:val="000000"/>
          <w:sz w:val="22"/>
          <w:szCs w:val="22"/>
          <w:lang w:eastAsia="zh-CN"/>
        </w:rPr>
        <w:t>3</w:t>
      </w:r>
      <w:r w:rsidRPr="00622F5B">
        <w:rPr>
          <w:rFonts w:ascii="Times New Roman" w:eastAsia="宋体" w:hAnsi="Times New Roman" w:hint="eastAsia"/>
          <w:b/>
          <w:bCs/>
          <w:color w:val="000000"/>
          <w:sz w:val="22"/>
          <w:szCs w:val="22"/>
          <w:lang w:eastAsia="zh-CN"/>
        </w:rPr>
        <w:t>:</w:t>
      </w:r>
      <w:r w:rsidRPr="00622F5B">
        <w:rPr>
          <w:rFonts w:ascii="Times New Roman" w:eastAsia="宋体" w:hAnsi="Times New Roman"/>
          <w:b/>
          <w:bCs/>
          <w:color w:val="000000"/>
          <w:sz w:val="22"/>
          <w:szCs w:val="22"/>
          <w:lang w:eastAsia="zh-CN"/>
        </w:rPr>
        <w:t xml:space="preserve"> Support inter-slot OCC multiplexing for UEs operating in TN based on a common design. </w:t>
      </w:r>
    </w:p>
    <w:p w14:paraId="6529807F" w14:textId="77777777" w:rsidR="007836C0" w:rsidRDefault="007836C0" w:rsidP="007836C0">
      <w:pPr>
        <w:spacing w:after="100" w:afterAutospacing="1"/>
        <w:ind w:left="0" w:firstLine="0"/>
        <w:jc w:val="both"/>
        <w:rPr>
          <w:rFonts w:ascii="Times New Roman" w:eastAsia="宋体" w:hAnsi="Times New Roman"/>
          <w:b/>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Pr>
          <w:rFonts w:ascii="Times New Roman" w:eastAsia="宋体" w:hAnsi="Times New Roman"/>
          <w:b/>
          <w:bCs/>
          <w:color w:val="000000"/>
          <w:sz w:val="22"/>
          <w:szCs w:val="22"/>
          <w:lang w:eastAsia="zh-CN"/>
        </w:rPr>
        <w:t>4</w:t>
      </w:r>
      <w:r w:rsidRPr="00FE602A">
        <w:rPr>
          <w:rFonts w:ascii="Times New Roman" w:eastAsia="宋体" w:hAnsi="Times New Roman"/>
          <w:b/>
          <w:bCs/>
          <w:color w:val="000000"/>
          <w:sz w:val="22"/>
          <w:szCs w:val="22"/>
          <w:lang w:eastAsia="zh-CN"/>
        </w:rPr>
        <w:t>: De</w:t>
      </w:r>
      <w:r>
        <w:rPr>
          <w:rFonts w:ascii="Times New Roman" w:eastAsia="宋体" w:hAnsi="Times New Roman"/>
          <w:b/>
          <w:bCs/>
          <w:color w:val="000000"/>
          <w:sz w:val="22"/>
          <w:szCs w:val="22"/>
          <w:lang w:eastAsia="zh-CN"/>
        </w:rPr>
        <w:t>f</w:t>
      </w:r>
      <w:r w:rsidRPr="00FE602A">
        <w:rPr>
          <w:rFonts w:ascii="Times New Roman" w:eastAsia="宋体" w:hAnsi="Times New Roman"/>
          <w:b/>
          <w:bCs/>
          <w:color w:val="000000"/>
          <w:sz w:val="22"/>
          <w:szCs w:val="22"/>
          <w:lang w:eastAsia="zh-CN"/>
        </w:rPr>
        <w:t>er the RV for the follow-up OCC group(s) when OCC group(s) dropping is occurred.</w:t>
      </w:r>
    </w:p>
    <w:p w14:paraId="1F7F2C63" w14:textId="77777777" w:rsidR="006E429D" w:rsidRPr="006E429D" w:rsidRDefault="006E429D" w:rsidP="00DC1FD9">
      <w:pPr>
        <w:spacing w:after="100" w:afterAutospacing="1"/>
        <w:ind w:left="0" w:firstLine="0"/>
        <w:jc w:val="both"/>
        <w:rPr>
          <w:rFonts w:ascii="Times New Roman" w:eastAsia="宋体" w:hAnsi="Times New Roman"/>
          <w:bCs/>
          <w:color w:val="000000"/>
          <w:sz w:val="22"/>
          <w:szCs w:val="22"/>
          <w:lang w:eastAsia="zh-CN"/>
        </w:rPr>
      </w:pPr>
    </w:p>
    <w:sectPr w:rsidR="006E429D" w:rsidRPr="006E429D"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EDCEA" w14:textId="77777777" w:rsidR="0034129F" w:rsidRDefault="0034129F">
      <w:r>
        <w:separator/>
      </w:r>
    </w:p>
  </w:endnote>
  <w:endnote w:type="continuationSeparator" w:id="0">
    <w:p w14:paraId="6A3BF788" w14:textId="77777777" w:rsidR="0034129F" w:rsidRDefault="0034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OpenSymbol">
    <w:altName w:val="HGGothic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8C5E3" w14:textId="77777777" w:rsidR="0034129F" w:rsidRDefault="0034129F">
      <w:r>
        <w:separator/>
      </w:r>
    </w:p>
  </w:footnote>
  <w:footnote w:type="continuationSeparator" w:id="0">
    <w:p w14:paraId="100F7AC6" w14:textId="77777777" w:rsidR="0034129F" w:rsidRDefault="00341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3A2A2F"/>
    <w:multiLevelType w:val="hybridMultilevel"/>
    <w:tmpl w:val="36187E8C"/>
    <w:styleLink w:val="StyleBulletedSymbolsymbolLeft025Hanging02564"/>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3119BA"/>
    <w:multiLevelType w:val="hybridMultilevel"/>
    <w:tmpl w:val="7780F3D0"/>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420446E0"/>
    <w:multiLevelType w:val="hybridMultilevel"/>
    <w:tmpl w:val="3766AAA4"/>
    <w:lvl w:ilvl="0" w:tplc="64625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224FE"/>
    <w:multiLevelType w:val="hybridMultilevel"/>
    <w:tmpl w:val="B2C4AFF4"/>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DB0085"/>
    <w:multiLevelType w:val="hybridMultilevel"/>
    <w:tmpl w:val="59E28F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C773CD2"/>
    <w:multiLevelType w:val="hybridMultilevel"/>
    <w:tmpl w:val="0BAC4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5"/>
  </w:num>
  <w:num w:numId="3">
    <w:abstractNumId w:val="22"/>
  </w:num>
  <w:num w:numId="4">
    <w:abstractNumId w:val="20"/>
  </w:num>
  <w:num w:numId="5">
    <w:abstractNumId w:val="6"/>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13"/>
  </w:num>
  <w:num w:numId="9">
    <w:abstractNumId w:val="9"/>
  </w:num>
  <w:num w:numId="10">
    <w:abstractNumId w:val="14"/>
  </w:num>
  <w:num w:numId="11">
    <w:abstractNumId w:val="11"/>
  </w:num>
  <w:num w:numId="12">
    <w:abstractNumId w:val="16"/>
  </w:num>
  <w:num w:numId="13">
    <w:abstractNumId w:val="10"/>
  </w:num>
  <w:num w:numId="14">
    <w:abstractNumId w:val="12"/>
  </w:num>
  <w:num w:numId="15">
    <w:abstractNumId w:val="7"/>
  </w:num>
  <w:num w:numId="16">
    <w:abstractNumId w:val="0"/>
  </w:num>
  <w:num w:numId="17">
    <w:abstractNumId w:val="21"/>
  </w:num>
  <w:num w:numId="18">
    <w:abstractNumId w:val="18"/>
  </w:num>
  <w:num w:numId="19">
    <w:abstractNumId w:val="4"/>
  </w:num>
  <w:num w:numId="20">
    <w:abstractNumId w:val="17"/>
  </w:num>
  <w:num w:numId="21">
    <w:abstractNumId w:val="8"/>
  </w:num>
  <w:num w:numId="22">
    <w:abstractNumId w:val="13"/>
  </w:num>
  <w:num w:numId="23">
    <w:abstractNumId w:val="13"/>
  </w:num>
  <w:num w:numId="2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4E01"/>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3FC6"/>
    <w:rsid w:val="0004416F"/>
    <w:rsid w:val="000445C5"/>
    <w:rsid w:val="000447FD"/>
    <w:rsid w:val="000449D0"/>
    <w:rsid w:val="000449FE"/>
    <w:rsid w:val="000458C4"/>
    <w:rsid w:val="000459C0"/>
    <w:rsid w:val="00045F9D"/>
    <w:rsid w:val="000461F3"/>
    <w:rsid w:val="00046244"/>
    <w:rsid w:val="000462FA"/>
    <w:rsid w:val="0004642B"/>
    <w:rsid w:val="00046657"/>
    <w:rsid w:val="00046724"/>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20A"/>
    <w:rsid w:val="000635A8"/>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8CF"/>
    <w:rsid w:val="00075C5E"/>
    <w:rsid w:val="00075F8D"/>
    <w:rsid w:val="000760A8"/>
    <w:rsid w:val="000760F6"/>
    <w:rsid w:val="00076483"/>
    <w:rsid w:val="0007648D"/>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6E67"/>
    <w:rsid w:val="00087010"/>
    <w:rsid w:val="00087630"/>
    <w:rsid w:val="00087716"/>
    <w:rsid w:val="000877E1"/>
    <w:rsid w:val="0008781E"/>
    <w:rsid w:val="00090333"/>
    <w:rsid w:val="0009040F"/>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470"/>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AF"/>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AE8"/>
    <w:rsid w:val="000D4CE2"/>
    <w:rsid w:val="000D4D0F"/>
    <w:rsid w:val="000D5020"/>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DF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6AA"/>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CF"/>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7C7"/>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CF4"/>
    <w:rsid w:val="00112D09"/>
    <w:rsid w:val="00112E14"/>
    <w:rsid w:val="00112E90"/>
    <w:rsid w:val="00113015"/>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774"/>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38"/>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21"/>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774"/>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29E"/>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677"/>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B5"/>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60"/>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452"/>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0B6"/>
    <w:rsid w:val="00200193"/>
    <w:rsid w:val="00200319"/>
    <w:rsid w:val="00200674"/>
    <w:rsid w:val="00200913"/>
    <w:rsid w:val="00200ECF"/>
    <w:rsid w:val="00201612"/>
    <w:rsid w:val="0020183D"/>
    <w:rsid w:val="00201840"/>
    <w:rsid w:val="00201BBA"/>
    <w:rsid w:val="002023A6"/>
    <w:rsid w:val="00203A51"/>
    <w:rsid w:val="00203BA1"/>
    <w:rsid w:val="00203D20"/>
    <w:rsid w:val="0020401C"/>
    <w:rsid w:val="002045B4"/>
    <w:rsid w:val="002050FC"/>
    <w:rsid w:val="002052B3"/>
    <w:rsid w:val="002057E5"/>
    <w:rsid w:val="002059E4"/>
    <w:rsid w:val="00205C21"/>
    <w:rsid w:val="00205F79"/>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513"/>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4EFC"/>
    <w:rsid w:val="00225146"/>
    <w:rsid w:val="00225189"/>
    <w:rsid w:val="002251F3"/>
    <w:rsid w:val="002252FF"/>
    <w:rsid w:val="002255D1"/>
    <w:rsid w:val="0022568A"/>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A21"/>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2CD"/>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379"/>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5F4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B0"/>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192"/>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5F6"/>
    <w:rsid w:val="002E5798"/>
    <w:rsid w:val="002E58E2"/>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0C6E"/>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9A9"/>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DA"/>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29F"/>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824"/>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CB0"/>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2CA"/>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C68"/>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E6D"/>
    <w:rsid w:val="003B5F4D"/>
    <w:rsid w:val="003B6536"/>
    <w:rsid w:val="003B6629"/>
    <w:rsid w:val="003B68AC"/>
    <w:rsid w:val="003B6A83"/>
    <w:rsid w:val="003B6B93"/>
    <w:rsid w:val="003B6E90"/>
    <w:rsid w:val="003B7041"/>
    <w:rsid w:val="003B7473"/>
    <w:rsid w:val="003B7607"/>
    <w:rsid w:val="003B7869"/>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7DF"/>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111"/>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09"/>
    <w:rsid w:val="0040075F"/>
    <w:rsid w:val="004008A3"/>
    <w:rsid w:val="00400D0C"/>
    <w:rsid w:val="00400E42"/>
    <w:rsid w:val="00400E8E"/>
    <w:rsid w:val="0040113C"/>
    <w:rsid w:val="0040156E"/>
    <w:rsid w:val="00401781"/>
    <w:rsid w:val="00401A22"/>
    <w:rsid w:val="00401B9C"/>
    <w:rsid w:val="00401EE1"/>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1D0"/>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0F9"/>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93"/>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475"/>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83B"/>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D08"/>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C4F"/>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67FA9"/>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5D9C"/>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2F45"/>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73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5F3D"/>
    <w:rsid w:val="005E60B4"/>
    <w:rsid w:val="005E6390"/>
    <w:rsid w:val="005E6D96"/>
    <w:rsid w:val="005E6EFC"/>
    <w:rsid w:val="005E7135"/>
    <w:rsid w:val="005E73F5"/>
    <w:rsid w:val="005E7765"/>
    <w:rsid w:val="005E78C9"/>
    <w:rsid w:val="005E78CA"/>
    <w:rsid w:val="005E7ADE"/>
    <w:rsid w:val="005E7DDF"/>
    <w:rsid w:val="005F00BE"/>
    <w:rsid w:val="005F0106"/>
    <w:rsid w:val="005F0369"/>
    <w:rsid w:val="005F07E5"/>
    <w:rsid w:val="005F087C"/>
    <w:rsid w:val="005F0B76"/>
    <w:rsid w:val="005F0E24"/>
    <w:rsid w:val="005F0F17"/>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2F5B"/>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94A"/>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0"/>
    <w:rsid w:val="00636BFC"/>
    <w:rsid w:val="00637038"/>
    <w:rsid w:val="00637251"/>
    <w:rsid w:val="0063754C"/>
    <w:rsid w:val="006375A1"/>
    <w:rsid w:val="006375DC"/>
    <w:rsid w:val="00637752"/>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476"/>
    <w:rsid w:val="006455F5"/>
    <w:rsid w:val="0064571B"/>
    <w:rsid w:val="006458C2"/>
    <w:rsid w:val="006461BB"/>
    <w:rsid w:val="006462ED"/>
    <w:rsid w:val="006464C6"/>
    <w:rsid w:val="006464E4"/>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A3"/>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2"/>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3B62"/>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BC8"/>
    <w:rsid w:val="006C1D37"/>
    <w:rsid w:val="006C1ECA"/>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72A2"/>
    <w:rsid w:val="006D72C9"/>
    <w:rsid w:val="006D75B4"/>
    <w:rsid w:val="006D7782"/>
    <w:rsid w:val="006D7A5B"/>
    <w:rsid w:val="006D7ACF"/>
    <w:rsid w:val="006D7B37"/>
    <w:rsid w:val="006E00EE"/>
    <w:rsid w:val="006E041E"/>
    <w:rsid w:val="006E0860"/>
    <w:rsid w:val="006E09F4"/>
    <w:rsid w:val="006E0CD9"/>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29D"/>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2A94"/>
    <w:rsid w:val="007331CF"/>
    <w:rsid w:val="0073322E"/>
    <w:rsid w:val="00733615"/>
    <w:rsid w:val="0073369D"/>
    <w:rsid w:val="00733A55"/>
    <w:rsid w:val="00733AFC"/>
    <w:rsid w:val="00733DB0"/>
    <w:rsid w:val="00733E21"/>
    <w:rsid w:val="00733E3F"/>
    <w:rsid w:val="00733EA4"/>
    <w:rsid w:val="00733F7A"/>
    <w:rsid w:val="00734D47"/>
    <w:rsid w:val="00734E6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5F4B"/>
    <w:rsid w:val="007460E9"/>
    <w:rsid w:val="00746123"/>
    <w:rsid w:val="00746183"/>
    <w:rsid w:val="00746451"/>
    <w:rsid w:val="00746582"/>
    <w:rsid w:val="00746599"/>
    <w:rsid w:val="00746A01"/>
    <w:rsid w:val="00746BD7"/>
    <w:rsid w:val="00746FB2"/>
    <w:rsid w:val="00747046"/>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10D"/>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3F"/>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5B"/>
    <w:rsid w:val="00773071"/>
    <w:rsid w:val="00773FE5"/>
    <w:rsid w:val="00774054"/>
    <w:rsid w:val="00774297"/>
    <w:rsid w:val="007744A2"/>
    <w:rsid w:val="007749DC"/>
    <w:rsid w:val="00774D37"/>
    <w:rsid w:val="00774DC9"/>
    <w:rsid w:val="007751C9"/>
    <w:rsid w:val="00775865"/>
    <w:rsid w:val="007759BB"/>
    <w:rsid w:val="00775B26"/>
    <w:rsid w:val="00775BCB"/>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6C0"/>
    <w:rsid w:val="00783990"/>
    <w:rsid w:val="00783D3C"/>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C0B"/>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27E"/>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77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55"/>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4C"/>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1BB"/>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8EC"/>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26E"/>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257"/>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032"/>
    <w:rsid w:val="008F41C8"/>
    <w:rsid w:val="008F4409"/>
    <w:rsid w:val="008F4630"/>
    <w:rsid w:val="008F4784"/>
    <w:rsid w:val="008F4933"/>
    <w:rsid w:val="008F4BDA"/>
    <w:rsid w:val="008F4E04"/>
    <w:rsid w:val="008F4E8C"/>
    <w:rsid w:val="008F4F3D"/>
    <w:rsid w:val="008F536F"/>
    <w:rsid w:val="008F54EA"/>
    <w:rsid w:val="008F5666"/>
    <w:rsid w:val="008F5AD1"/>
    <w:rsid w:val="008F5E16"/>
    <w:rsid w:val="008F6061"/>
    <w:rsid w:val="008F60BB"/>
    <w:rsid w:val="008F61A8"/>
    <w:rsid w:val="008F67B0"/>
    <w:rsid w:val="008F6A0C"/>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1D6"/>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310"/>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1FDC"/>
    <w:rsid w:val="0093228F"/>
    <w:rsid w:val="0093232B"/>
    <w:rsid w:val="009323D9"/>
    <w:rsid w:val="00932535"/>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D0B"/>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071"/>
    <w:rsid w:val="009A610C"/>
    <w:rsid w:val="009A630F"/>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2CE0"/>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2FD2"/>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CC6"/>
    <w:rsid w:val="009F6DAA"/>
    <w:rsid w:val="009F7094"/>
    <w:rsid w:val="009F72B4"/>
    <w:rsid w:val="009F7834"/>
    <w:rsid w:val="009F7AFA"/>
    <w:rsid w:val="009F7E6D"/>
    <w:rsid w:val="00A000D2"/>
    <w:rsid w:val="00A00253"/>
    <w:rsid w:val="00A0042F"/>
    <w:rsid w:val="00A005AE"/>
    <w:rsid w:val="00A0069B"/>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601"/>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065"/>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D91"/>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4F51"/>
    <w:rsid w:val="00A65145"/>
    <w:rsid w:val="00A6519E"/>
    <w:rsid w:val="00A65347"/>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A94"/>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77DD2"/>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2F7D"/>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AD2"/>
    <w:rsid w:val="00A85CF7"/>
    <w:rsid w:val="00A85E12"/>
    <w:rsid w:val="00A85E1B"/>
    <w:rsid w:val="00A85EB2"/>
    <w:rsid w:val="00A8628D"/>
    <w:rsid w:val="00A8644C"/>
    <w:rsid w:val="00A864CF"/>
    <w:rsid w:val="00A865BE"/>
    <w:rsid w:val="00A86714"/>
    <w:rsid w:val="00A86A3E"/>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0EC0"/>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07C"/>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1B"/>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3EED"/>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0D5"/>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AC3"/>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980"/>
    <w:rsid w:val="00B97AB0"/>
    <w:rsid w:val="00B97AEE"/>
    <w:rsid w:val="00B97F7C"/>
    <w:rsid w:val="00B97F9F"/>
    <w:rsid w:val="00BA006B"/>
    <w:rsid w:val="00BA03D9"/>
    <w:rsid w:val="00BA0452"/>
    <w:rsid w:val="00BA0470"/>
    <w:rsid w:val="00BA05D0"/>
    <w:rsid w:val="00BA0704"/>
    <w:rsid w:val="00BA082F"/>
    <w:rsid w:val="00BA084D"/>
    <w:rsid w:val="00BA0B41"/>
    <w:rsid w:val="00BA0BEB"/>
    <w:rsid w:val="00BA0C61"/>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5DB9"/>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6F7A"/>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37"/>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1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3C1C"/>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972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46B"/>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1E92"/>
    <w:rsid w:val="00CB2441"/>
    <w:rsid w:val="00CB2492"/>
    <w:rsid w:val="00CB27E8"/>
    <w:rsid w:val="00CB2974"/>
    <w:rsid w:val="00CB2A0D"/>
    <w:rsid w:val="00CB2AC3"/>
    <w:rsid w:val="00CB2C01"/>
    <w:rsid w:val="00CB2C73"/>
    <w:rsid w:val="00CB2D99"/>
    <w:rsid w:val="00CB31E5"/>
    <w:rsid w:val="00CB3212"/>
    <w:rsid w:val="00CB375D"/>
    <w:rsid w:val="00CB388A"/>
    <w:rsid w:val="00CB3FB0"/>
    <w:rsid w:val="00CB46D3"/>
    <w:rsid w:val="00CB49C9"/>
    <w:rsid w:val="00CB53AE"/>
    <w:rsid w:val="00CB55B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436"/>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2EA"/>
    <w:rsid w:val="00D62349"/>
    <w:rsid w:val="00D624A4"/>
    <w:rsid w:val="00D624C8"/>
    <w:rsid w:val="00D626BE"/>
    <w:rsid w:val="00D62A1E"/>
    <w:rsid w:val="00D62E57"/>
    <w:rsid w:val="00D62EEF"/>
    <w:rsid w:val="00D630CF"/>
    <w:rsid w:val="00D63129"/>
    <w:rsid w:val="00D63320"/>
    <w:rsid w:val="00D6359C"/>
    <w:rsid w:val="00D639F5"/>
    <w:rsid w:val="00D63A1E"/>
    <w:rsid w:val="00D63AE8"/>
    <w:rsid w:val="00D64186"/>
    <w:rsid w:val="00D64602"/>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3E6"/>
    <w:rsid w:val="00D7040E"/>
    <w:rsid w:val="00D705EA"/>
    <w:rsid w:val="00D70C01"/>
    <w:rsid w:val="00D71078"/>
    <w:rsid w:val="00D710C2"/>
    <w:rsid w:val="00D71233"/>
    <w:rsid w:val="00D712E7"/>
    <w:rsid w:val="00D7197C"/>
    <w:rsid w:val="00D71A0F"/>
    <w:rsid w:val="00D71A52"/>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77DBB"/>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022"/>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0FA"/>
    <w:rsid w:val="00DB0328"/>
    <w:rsid w:val="00DB0355"/>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B08"/>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1FD9"/>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D7FF9"/>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1C"/>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54"/>
    <w:rsid w:val="00E40DF8"/>
    <w:rsid w:val="00E40F55"/>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12"/>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AA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3FEF"/>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CE9"/>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B35"/>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455"/>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A63"/>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8AF"/>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4E1F"/>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6A"/>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1EF4"/>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BAA"/>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920"/>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CCC"/>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686"/>
    <w:rsid w:val="00FC1ABA"/>
    <w:rsid w:val="00FC1BA7"/>
    <w:rsid w:val="00FC1D15"/>
    <w:rsid w:val="00FC273E"/>
    <w:rsid w:val="00FC2809"/>
    <w:rsid w:val="00FC296E"/>
    <w:rsid w:val="00FC2A43"/>
    <w:rsid w:val="00FC2E86"/>
    <w:rsid w:val="00FC2F85"/>
    <w:rsid w:val="00FC3461"/>
    <w:rsid w:val="00FC36F8"/>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8B"/>
    <w:rsid w:val="00FC5CBE"/>
    <w:rsid w:val="00FC67C1"/>
    <w:rsid w:val="00FC688E"/>
    <w:rsid w:val="00FC6AA5"/>
    <w:rsid w:val="00FC6B46"/>
    <w:rsid w:val="00FC6E8E"/>
    <w:rsid w:val="00FC7305"/>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3FE1"/>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02A"/>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156"/>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7CF"/>
    <w:rsid w:val="00FF5910"/>
    <w:rsid w:val="00FF59B4"/>
    <w:rsid w:val="00FF5AD8"/>
    <w:rsid w:val="00FF5BA7"/>
    <w:rsid w:val="00FF645C"/>
    <w:rsid w:val="00FF65B8"/>
    <w:rsid w:val="00FF663A"/>
    <w:rsid w:val="00FF687B"/>
    <w:rsid w:val="00FF6A1A"/>
    <w:rsid w:val="00FF6A68"/>
    <w:rsid w:val="00FF6C01"/>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AE16337A-DFFA-47C9-B353-6309D5DA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320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ST Table,Check(v),Table-Text,x Tableau page de garde,表（文字列）"/>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 w:type="numbering" w:customStyle="1" w:styleId="StyleBulletedSymbolsymbolLeft025Hanging02564">
    <w:name w:val="Style Bulleted Symbol (symbol) Left:  0.25&quot; Hanging:  0.25&quot;64"/>
    <w:basedOn w:val="a3"/>
    <w:rsid w:val="00C60117"/>
    <w:pPr>
      <w:numPr>
        <w:numId w:val="15"/>
      </w:numPr>
    </w:pPr>
  </w:style>
  <w:style w:type="table" w:customStyle="1" w:styleId="25">
    <w:name w:val="网格型2"/>
    <w:basedOn w:val="a2"/>
    <w:next w:val="af1"/>
    <w:uiPriority w:val="39"/>
    <w:qFormat/>
    <w:rsid w:val="00E81F12"/>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8967488">
      <w:bodyDiv w:val="1"/>
      <w:marLeft w:val="0"/>
      <w:marRight w:val="0"/>
      <w:marTop w:val="0"/>
      <w:marBottom w:val="0"/>
      <w:divBdr>
        <w:top w:val="none" w:sz="0" w:space="0" w:color="auto"/>
        <w:left w:val="none" w:sz="0" w:space="0" w:color="auto"/>
        <w:bottom w:val="none" w:sz="0" w:space="0" w:color="auto"/>
        <w:right w:val="none" w:sz="0" w:space="0" w:color="auto"/>
      </w:divBdr>
      <w:divsChild>
        <w:div w:id="832986295">
          <w:marLeft w:val="0"/>
          <w:marRight w:val="0"/>
          <w:marTop w:val="0"/>
          <w:marBottom w:val="0"/>
          <w:divBdr>
            <w:top w:val="none" w:sz="0" w:space="0" w:color="auto"/>
            <w:left w:val="none" w:sz="0" w:space="0" w:color="auto"/>
            <w:bottom w:val="none" w:sz="0" w:space="0" w:color="auto"/>
            <w:right w:val="none" w:sz="0" w:space="0" w:color="auto"/>
          </w:divBdr>
          <w:divsChild>
            <w:div w:id="57292588">
              <w:marLeft w:val="0"/>
              <w:marRight w:val="0"/>
              <w:marTop w:val="0"/>
              <w:marBottom w:val="0"/>
              <w:divBdr>
                <w:top w:val="none" w:sz="0" w:space="0" w:color="auto"/>
                <w:left w:val="none" w:sz="0" w:space="0" w:color="auto"/>
                <w:bottom w:val="none" w:sz="0" w:space="0" w:color="auto"/>
                <w:right w:val="none" w:sz="0" w:space="0" w:color="auto"/>
              </w:divBdr>
              <w:divsChild>
                <w:div w:id="656804565">
                  <w:marLeft w:val="0"/>
                  <w:marRight w:val="0"/>
                  <w:marTop w:val="0"/>
                  <w:marBottom w:val="0"/>
                  <w:divBdr>
                    <w:top w:val="none" w:sz="0" w:space="0" w:color="auto"/>
                    <w:left w:val="none" w:sz="0" w:space="0" w:color="auto"/>
                    <w:bottom w:val="none" w:sz="0" w:space="0" w:color="auto"/>
                    <w:right w:val="none" w:sz="0" w:space="0" w:color="auto"/>
                  </w:divBdr>
                </w:div>
                <w:div w:id="719329612">
                  <w:marLeft w:val="0"/>
                  <w:marRight w:val="0"/>
                  <w:marTop w:val="0"/>
                  <w:marBottom w:val="0"/>
                  <w:divBdr>
                    <w:top w:val="none" w:sz="0" w:space="0" w:color="auto"/>
                    <w:left w:val="none" w:sz="0" w:space="0" w:color="auto"/>
                    <w:bottom w:val="none" w:sz="0" w:space="0" w:color="auto"/>
                    <w:right w:val="none" w:sz="0" w:space="0" w:color="auto"/>
                  </w:divBdr>
                </w:div>
                <w:div w:id="725105740">
                  <w:marLeft w:val="0"/>
                  <w:marRight w:val="0"/>
                  <w:marTop w:val="0"/>
                  <w:marBottom w:val="0"/>
                  <w:divBdr>
                    <w:top w:val="none" w:sz="0" w:space="0" w:color="auto"/>
                    <w:left w:val="none" w:sz="0" w:space="0" w:color="auto"/>
                    <w:bottom w:val="none" w:sz="0" w:space="0" w:color="auto"/>
                    <w:right w:val="none" w:sz="0" w:space="0" w:color="auto"/>
                  </w:divBdr>
                </w:div>
                <w:div w:id="731777695">
                  <w:marLeft w:val="0"/>
                  <w:marRight w:val="0"/>
                  <w:marTop w:val="0"/>
                  <w:marBottom w:val="0"/>
                  <w:divBdr>
                    <w:top w:val="none" w:sz="0" w:space="0" w:color="auto"/>
                    <w:left w:val="none" w:sz="0" w:space="0" w:color="auto"/>
                    <w:bottom w:val="none" w:sz="0" w:space="0" w:color="auto"/>
                    <w:right w:val="none" w:sz="0" w:space="0" w:color="auto"/>
                  </w:divBdr>
                </w:div>
                <w:div w:id="913665745">
                  <w:marLeft w:val="0"/>
                  <w:marRight w:val="0"/>
                  <w:marTop w:val="0"/>
                  <w:marBottom w:val="0"/>
                  <w:divBdr>
                    <w:top w:val="none" w:sz="0" w:space="0" w:color="auto"/>
                    <w:left w:val="none" w:sz="0" w:space="0" w:color="auto"/>
                    <w:bottom w:val="none" w:sz="0" w:space="0" w:color="auto"/>
                    <w:right w:val="none" w:sz="0" w:space="0" w:color="auto"/>
                  </w:divBdr>
                </w:div>
                <w:div w:id="960916758">
                  <w:marLeft w:val="0"/>
                  <w:marRight w:val="0"/>
                  <w:marTop w:val="0"/>
                  <w:marBottom w:val="0"/>
                  <w:divBdr>
                    <w:top w:val="none" w:sz="0" w:space="0" w:color="auto"/>
                    <w:left w:val="none" w:sz="0" w:space="0" w:color="auto"/>
                    <w:bottom w:val="none" w:sz="0" w:space="0" w:color="auto"/>
                    <w:right w:val="none" w:sz="0" w:space="0" w:color="auto"/>
                  </w:divBdr>
                </w:div>
                <w:div w:id="1515146145">
                  <w:marLeft w:val="0"/>
                  <w:marRight w:val="0"/>
                  <w:marTop w:val="0"/>
                  <w:marBottom w:val="0"/>
                  <w:divBdr>
                    <w:top w:val="none" w:sz="0" w:space="0" w:color="auto"/>
                    <w:left w:val="none" w:sz="0" w:space="0" w:color="auto"/>
                    <w:bottom w:val="none" w:sz="0" w:space="0" w:color="auto"/>
                    <w:right w:val="none" w:sz="0" w:space="0" w:color="auto"/>
                  </w:divBdr>
                </w:div>
                <w:div w:id="1803115077">
                  <w:marLeft w:val="0"/>
                  <w:marRight w:val="0"/>
                  <w:marTop w:val="0"/>
                  <w:marBottom w:val="0"/>
                  <w:divBdr>
                    <w:top w:val="none" w:sz="0" w:space="0" w:color="auto"/>
                    <w:left w:val="none" w:sz="0" w:space="0" w:color="auto"/>
                    <w:bottom w:val="none" w:sz="0" w:space="0" w:color="auto"/>
                    <w:right w:val="none" w:sz="0" w:space="0" w:color="auto"/>
                  </w:divBdr>
                </w:div>
                <w:div w:id="2026201638">
                  <w:marLeft w:val="0"/>
                  <w:marRight w:val="0"/>
                  <w:marTop w:val="0"/>
                  <w:marBottom w:val="0"/>
                  <w:divBdr>
                    <w:top w:val="none" w:sz="0" w:space="0" w:color="auto"/>
                    <w:left w:val="none" w:sz="0" w:space="0" w:color="auto"/>
                    <w:bottom w:val="none" w:sz="0" w:space="0" w:color="auto"/>
                    <w:right w:val="none" w:sz="0" w:space="0" w:color="auto"/>
                  </w:divBdr>
                </w:div>
                <w:div w:id="20499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7572086">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4486539">
      <w:bodyDiv w:val="1"/>
      <w:marLeft w:val="0"/>
      <w:marRight w:val="0"/>
      <w:marTop w:val="0"/>
      <w:marBottom w:val="0"/>
      <w:divBdr>
        <w:top w:val="none" w:sz="0" w:space="0" w:color="auto"/>
        <w:left w:val="none" w:sz="0" w:space="0" w:color="auto"/>
        <w:bottom w:val="none" w:sz="0" w:space="0" w:color="auto"/>
        <w:right w:val="none" w:sz="0" w:space="0" w:color="auto"/>
      </w:divBdr>
      <w:divsChild>
        <w:div w:id="1204902869">
          <w:marLeft w:val="0"/>
          <w:marRight w:val="0"/>
          <w:marTop w:val="0"/>
          <w:marBottom w:val="0"/>
          <w:divBdr>
            <w:top w:val="none" w:sz="0" w:space="0" w:color="auto"/>
            <w:left w:val="none" w:sz="0" w:space="0" w:color="auto"/>
            <w:bottom w:val="none" w:sz="0" w:space="0" w:color="auto"/>
            <w:right w:val="none" w:sz="0" w:space="0" w:color="auto"/>
          </w:divBdr>
          <w:divsChild>
            <w:div w:id="404570645">
              <w:marLeft w:val="0"/>
              <w:marRight w:val="0"/>
              <w:marTop w:val="0"/>
              <w:marBottom w:val="0"/>
              <w:divBdr>
                <w:top w:val="none" w:sz="0" w:space="0" w:color="auto"/>
                <w:left w:val="none" w:sz="0" w:space="0" w:color="auto"/>
                <w:bottom w:val="none" w:sz="0" w:space="0" w:color="auto"/>
                <w:right w:val="none" w:sz="0" w:space="0" w:color="auto"/>
              </w:divBdr>
              <w:divsChild>
                <w:div w:id="81723589">
                  <w:marLeft w:val="0"/>
                  <w:marRight w:val="0"/>
                  <w:marTop w:val="0"/>
                  <w:marBottom w:val="0"/>
                  <w:divBdr>
                    <w:top w:val="none" w:sz="0" w:space="0" w:color="auto"/>
                    <w:left w:val="none" w:sz="0" w:space="0" w:color="auto"/>
                    <w:bottom w:val="none" w:sz="0" w:space="0" w:color="auto"/>
                    <w:right w:val="none" w:sz="0" w:space="0" w:color="auto"/>
                  </w:divBdr>
                </w:div>
                <w:div w:id="697388470">
                  <w:marLeft w:val="0"/>
                  <w:marRight w:val="0"/>
                  <w:marTop w:val="0"/>
                  <w:marBottom w:val="0"/>
                  <w:divBdr>
                    <w:top w:val="none" w:sz="0" w:space="0" w:color="auto"/>
                    <w:left w:val="none" w:sz="0" w:space="0" w:color="auto"/>
                    <w:bottom w:val="none" w:sz="0" w:space="0" w:color="auto"/>
                    <w:right w:val="none" w:sz="0" w:space="0" w:color="auto"/>
                  </w:divBdr>
                </w:div>
                <w:div w:id="1537546027">
                  <w:marLeft w:val="0"/>
                  <w:marRight w:val="0"/>
                  <w:marTop w:val="0"/>
                  <w:marBottom w:val="0"/>
                  <w:divBdr>
                    <w:top w:val="none" w:sz="0" w:space="0" w:color="auto"/>
                    <w:left w:val="none" w:sz="0" w:space="0" w:color="auto"/>
                    <w:bottom w:val="none" w:sz="0" w:space="0" w:color="auto"/>
                    <w:right w:val="none" w:sz="0" w:space="0" w:color="auto"/>
                  </w:divBdr>
                </w:div>
                <w:div w:id="182565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693022">
      <w:bodyDiv w:val="1"/>
      <w:marLeft w:val="0"/>
      <w:marRight w:val="0"/>
      <w:marTop w:val="0"/>
      <w:marBottom w:val="0"/>
      <w:divBdr>
        <w:top w:val="none" w:sz="0" w:space="0" w:color="auto"/>
        <w:left w:val="none" w:sz="0" w:space="0" w:color="auto"/>
        <w:bottom w:val="none" w:sz="0" w:space="0" w:color="auto"/>
        <w:right w:val="none" w:sz="0" w:space="0" w:color="auto"/>
      </w:divBdr>
      <w:divsChild>
        <w:div w:id="226232341">
          <w:marLeft w:val="0"/>
          <w:marRight w:val="0"/>
          <w:marTop w:val="0"/>
          <w:marBottom w:val="0"/>
          <w:divBdr>
            <w:top w:val="none" w:sz="0" w:space="0" w:color="auto"/>
            <w:left w:val="none" w:sz="0" w:space="0" w:color="auto"/>
            <w:bottom w:val="none" w:sz="0" w:space="0" w:color="auto"/>
            <w:right w:val="none" w:sz="0" w:space="0" w:color="auto"/>
          </w:divBdr>
        </w:div>
      </w:divsChild>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1771679">
      <w:bodyDiv w:val="1"/>
      <w:marLeft w:val="0"/>
      <w:marRight w:val="0"/>
      <w:marTop w:val="0"/>
      <w:marBottom w:val="0"/>
      <w:divBdr>
        <w:top w:val="none" w:sz="0" w:space="0" w:color="auto"/>
        <w:left w:val="none" w:sz="0" w:space="0" w:color="auto"/>
        <w:bottom w:val="none" w:sz="0" w:space="0" w:color="auto"/>
        <w:right w:val="none" w:sz="0" w:space="0" w:color="auto"/>
      </w:divBdr>
      <w:divsChild>
        <w:div w:id="561866129">
          <w:marLeft w:val="0"/>
          <w:marRight w:val="0"/>
          <w:marTop w:val="0"/>
          <w:marBottom w:val="0"/>
          <w:divBdr>
            <w:top w:val="none" w:sz="0" w:space="0" w:color="auto"/>
            <w:left w:val="none" w:sz="0" w:space="0" w:color="auto"/>
            <w:bottom w:val="none" w:sz="0" w:space="0" w:color="auto"/>
            <w:right w:val="none" w:sz="0" w:space="0" w:color="auto"/>
          </w:divBdr>
          <w:divsChild>
            <w:div w:id="1866165383">
              <w:marLeft w:val="0"/>
              <w:marRight w:val="0"/>
              <w:marTop w:val="0"/>
              <w:marBottom w:val="0"/>
              <w:divBdr>
                <w:top w:val="none" w:sz="0" w:space="0" w:color="auto"/>
                <w:left w:val="none" w:sz="0" w:space="0" w:color="auto"/>
                <w:bottom w:val="none" w:sz="0" w:space="0" w:color="auto"/>
                <w:right w:val="none" w:sz="0" w:space="0" w:color="auto"/>
              </w:divBdr>
              <w:divsChild>
                <w:div w:id="453060615">
                  <w:marLeft w:val="0"/>
                  <w:marRight w:val="0"/>
                  <w:marTop w:val="0"/>
                  <w:marBottom w:val="0"/>
                  <w:divBdr>
                    <w:top w:val="none" w:sz="0" w:space="0" w:color="auto"/>
                    <w:left w:val="none" w:sz="0" w:space="0" w:color="auto"/>
                    <w:bottom w:val="none" w:sz="0" w:space="0" w:color="auto"/>
                    <w:right w:val="none" w:sz="0" w:space="0" w:color="auto"/>
                  </w:divBdr>
                </w:div>
                <w:div w:id="624045021">
                  <w:marLeft w:val="0"/>
                  <w:marRight w:val="0"/>
                  <w:marTop w:val="0"/>
                  <w:marBottom w:val="0"/>
                  <w:divBdr>
                    <w:top w:val="none" w:sz="0" w:space="0" w:color="auto"/>
                    <w:left w:val="none" w:sz="0" w:space="0" w:color="auto"/>
                    <w:bottom w:val="none" w:sz="0" w:space="0" w:color="auto"/>
                    <w:right w:val="none" w:sz="0" w:space="0" w:color="auto"/>
                  </w:divBdr>
                </w:div>
                <w:div w:id="937954981">
                  <w:marLeft w:val="0"/>
                  <w:marRight w:val="0"/>
                  <w:marTop w:val="0"/>
                  <w:marBottom w:val="0"/>
                  <w:divBdr>
                    <w:top w:val="none" w:sz="0" w:space="0" w:color="auto"/>
                    <w:left w:val="none" w:sz="0" w:space="0" w:color="auto"/>
                    <w:bottom w:val="none" w:sz="0" w:space="0" w:color="auto"/>
                    <w:right w:val="none" w:sz="0" w:space="0" w:color="auto"/>
                  </w:divBdr>
                </w:div>
                <w:div w:id="1644581626">
                  <w:marLeft w:val="0"/>
                  <w:marRight w:val="0"/>
                  <w:marTop w:val="0"/>
                  <w:marBottom w:val="0"/>
                  <w:divBdr>
                    <w:top w:val="none" w:sz="0" w:space="0" w:color="auto"/>
                    <w:left w:val="none" w:sz="0" w:space="0" w:color="auto"/>
                    <w:bottom w:val="none" w:sz="0" w:space="0" w:color="auto"/>
                    <w:right w:val="none" w:sz="0" w:space="0" w:color="auto"/>
                  </w:divBdr>
                </w:div>
                <w:div w:id="1655834454">
                  <w:marLeft w:val="0"/>
                  <w:marRight w:val="0"/>
                  <w:marTop w:val="0"/>
                  <w:marBottom w:val="0"/>
                  <w:divBdr>
                    <w:top w:val="none" w:sz="0" w:space="0" w:color="auto"/>
                    <w:left w:val="none" w:sz="0" w:space="0" w:color="auto"/>
                    <w:bottom w:val="none" w:sz="0" w:space="0" w:color="auto"/>
                    <w:right w:val="none" w:sz="0" w:space="0" w:color="auto"/>
                  </w:divBdr>
                </w:div>
                <w:div w:id="1709526151">
                  <w:marLeft w:val="0"/>
                  <w:marRight w:val="0"/>
                  <w:marTop w:val="0"/>
                  <w:marBottom w:val="0"/>
                  <w:divBdr>
                    <w:top w:val="none" w:sz="0" w:space="0" w:color="auto"/>
                    <w:left w:val="none" w:sz="0" w:space="0" w:color="auto"/>
                    <w:bottom w:val="none" w:sz="0" w:space="0" w:color="auto"/>
                    <w:right w:val="none" w:sz="0" w:space="0" w:color="auto"/>
                  </w:divBdr>
                </w:div>
                <w:div w:id="1827815295">
                  <w:marLeft w:val="0"/>
                  <w:marRight w:val="0"/>
                  <w:marTop w:val="0"/>
                  <w:marBottom w:val="0"/>
                  <w:divBdr>
                    <w:top w:val="none" w:sz="0" w:space="0" w:color="auto"/>
                    <w:left w:val="none" w:sz="0" w:space="0" w:color="auto"/>
                    <w:bottom w:val="none" w:sz="0" w:space="0" w:color="auto"/>
                    <w:right w:val="none" w:sz="0" w:space="0" w:color="auto"/>
                  </w:divBdr>
                </w:div>
                <w:div w:id="1886134582">
                  <w:marLeft w:val="0"/>
                  <w:marRight w:val="0"/>
                  <w:marTop w:val="0"/>
                  <w:marBottom w:val="0"/>
                  <w:divBdr>
                    <w:top w:val="none" w:sz="0" w:space="0" w:color="auto"/>
                    <w:left w:val="none" w:sz="0" w:space="0" w:color="auto"/>
                    <w:bottom w:val="none" w:sz="0" w:space="0" w:color="auto"/>
                    <w:right w:val="none" w:sz="0" w:space="0" w:color="auto"/>
                  </w:divBdr>
                </w:div>
                <w:div w:id="1973555490">
                  <w:marLeft w:val="0"/>
                  <w:marRight w:val="0"/>
                  <w:marTop w:val="0"/>
                  <w:marBottom w:val="0"/>
                  <w:divBdr>
                    <w:top w:val="none" w:sz="0" w:space="0" w:color="auto"/>
                    <w:left w:val="none" w:sz="0" w:space="0" w:color="auto"/>
                    <w:bottom w:val="none" w:sz="0" w:space="0" w:color="auto"/>
                    <w:right w:val="none" w:sz="0" w:space="0" w:color="auto"/>
                  </w:divBdr>
                </w:div>
                <w:div w:id="21014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931341">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213439">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3921322">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2924411">
      <w:bodyDiv w:val="1"/>
      <w:marLeft w:val="0"/>
      <w:marRight w:val="0"/>
      <w:marTop w:val="0"/>
      <w:marBottom w:val="0"/>
      <w:divBdr>
        <w:top w:val="none" w:sz="0" w:space="0" w:color="auto"/>
        <w:left w:val="none" w:sz="0" w:space="0" w:color="auto"/>
        <w:bottom w:val="none" w:sz="0" w:space="0" w:color="auto"/>
        <w:right w:val="none" w:sz="0" w:space="0" w:color="auto"/>
      </w:divBdr>
      <w:divsChild>
        <w:div w:id="1746030552">
          <w:marLeft w:val="0"/>
          <w:marRight w:val="0"/>
          <w:marTop w:val="0"/>
          <w:marBottom w:val="0"/>
          <w:divBdr>
            <w:top w:val="none" w:sz="0" w:space="0" w:color="auto"/>
            <w:left w:val="none" w:sz="0" w:space="0" w:color="auto"/>
            <w:bottom w:val="none" w:sz="0" w:space="0" w:color="auto"/>
            <w:right w:val="none" w:sz="0" w:space="0" w:color="auto"/>
          </w:divBdr>
          <w:divsChild>
            <w:div w:id="1342001654">
              <w:marLeft w:val="0"/>
              <w:marRight w:val="0"/>
              <w:marTop w:val="0"/>
              <w:marBottom w:val="0"/>
              <w:divBdr>
                <w:top w:val="none" w:sz="0" w:space="0" w:color="auto"/>
                <w:left w:val="none" w:sz="0" w:space="0" w:color="auto"/>
                <w:bottom w:val="none" w:sz="0" w:space="0" w:color="auto"/>
                <w:right w:val="none" w:sz="0" w:space="0" w:color="auto"/>
              </w:divBdr>
              <w:divsChild>
                <w:div w:id="65857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56914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33305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3472476">
      <w:bodyDiv w:val="1"/>
      <w:marLeft w:val="0"/>
      <w:marRight w:val="0"/>
      <w:marTop w:val="0"/>
      <w:marBottom w:val="0"/>
      <w:divBdr>
        <w:top w:val="none" w:sz="0" w:space="0" w:color="auto"/>
        <w:left w:val="none" w:sz="0" w:space="0" w:color="auto"/>
        <w:bottom w:val="none" w:sz="0" w:space="0" w:color="auto"/>
        <w:right w:val="none" w:sz="0" w:space="0" w:color="auto"/>
      </w:divBdr>
      <w:divsChild>
        <w:div w:id="339548857">
          <w:marLeft w:val="0"/>
          <w:marRight w:val="0"/>
          <w:marTop w:val="0"/>
          <w:marBottom w:val="0"/>
          <w:divBdr>
            <w:top w:val="none" w:sz="0" w:space="0" w:color="auto"/>
            <w:left w:val="none" w:sz="0" w:space="0" w:color="auto"/>
            <w:bottom w:val="none" w:sz="0" w:space="0" w:color="auto"/>
            <w:right w:val="none" w:sz="0" w:space="0" w:color="auto"/>
          </w:divBdr>
        </w:div>
        <w:div w:id="481771070">
          <w:marLeft w:val="0"/>
          <w:marRight w:val="0"/>
          <w:marTop w:val="0"/>
          <w:marBottom w:val="206"/>
          <w:divBdr>
            <w:top w:val="none" w:sz="0" w:space="0" w:color="auto"/>
            <w:left w:val="none" w:sz="0" w:space="0" w:color="auto"/>
            <w:bottom w:val="none" w:sz="0" w:space="0" w:color="auto"/>
            <w:right w:val="none" w:sz="0" w:space="0" w:color="auto"/>
          </w:divBdr>
        </w:div>
        <w:div w:id="2016952872">
          <w:marLeft w:val="0"/>
          <w:marRight w:val="0"/>
          <w:marTop w:val="0"/>
          <w:marBottom w:val="206"/>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96025">
      <w:bodyDiv w:val="1"/>
      <w:marLeft w:val="0"/>
      <w:marRight w:val="0"/>
      <w:marTop w:val="0"/>
      <w:marBottom w:val="0"/>
      <w:divBdr>
        <w:top w:val="none" w:sz="0" w:space="0" w:color="auto"/>
        <w:left w:val="none" w:sz="0" w:space="0" w:color="auto"/>
        <w:bottom w:val="none" w:sz="0" w:space="0" w:color="auto"/>
        <w:right w:val="none" w:sz="0" w:space="0" w:color="auto"/>
      </w:divBdr>
      <w:divsChild>
        <w:div w:id="282002262">
          <w:marLeft w:val="0"/>
          <w:marRight w:val="0"/>
          <w:marTop w:val="0"/>
          <w:marBottom w:val="0"/>
          <w:divBdr>
            <w:top w:val="none" w:sz="0" w:space="0" w:color="auto"/>
            <w:left w:val="none" w:sz="0" w:space="0" w:color="auto"/>
            <w:bottom w:val="none" w:sz="0" w:space="0" w:color="auto"/>
            <w:right w:val="none" w:sz="0" w:space="0" w:color="auto"/>
          </w:divBdr>
        </w:div>
        <w:div w:id="325599845">
          <w:marLeft w:val="0"/>
          <w:marRight w:val="0"/>
          <w:marTop w:val="0"/>
          <w:marBottom w:val="0"/>
          <w:divBdr>
            <w:top w:val="none" w:sz="0" w:space="0" w:color="auto"/>
            <w:left w:val="none" w:sz="0" w:space="0" w:color="auto"/>
            <w:bottom w:val="none" w:sz="0" w:space="0" w:color="auto"/>
            <w:right w:val="none" w:sz="0" w:space="0" w:color="auto"/>
          </w:divBdr>
        </w:div>
        <w:div w:id="536351532">
          <w:marLeft w:val="0"/>
          <w:marRight w:val="0"/>
          <w:marTop w:val="0"/>
          <w:marBottom w:val="206"/>
          <w:divBdr>
            <w:top w:val="none" w:sz="0" w:space="0" w:color="auto"/>
            <w:left w:val="none" w:sz="0" w:space="0" w:color="auto"/>
            <w:bottom w:val="none" w:sz="0" w:space="0" w:color="auto"/>
            <w:right w:val="none" w:sz="0" w:space="0" w:color="auto"/>
          </w:divBdr>
        </w:div>
        <w:div w:id="1001859804">
          <w:marLeft w:val="0"/>
          <w:marRight w:val="0"/>
          <w:marTop w:val="206"/>
          <w:marBottom w:val="0"/>
          <w:divBdr>
            <w:top w:val="none" w:sz="0" w:space="0" w:color="auto"/>
            <w:left w:val="none" w:sz="0" w:space="0" w:color="auto"/>
            <w:bottom w:val="none" w:sz="0" w:space="0" w:color="auto"/>
            <w:right w:val="none" w:sz="0" w:space="0" w:color="auto"/>
          </w:divBdr>
        </w:div>
        <w:div w:id="1937908152">
          <w:marLeft w:val="0"/>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57190">
      <w:bodyDiv w:val="1"/>
      <w:marLeft w:val="0"/>
      <w:marRight w:val="0"/>
      <w:marTop w:val="0"/>
      <w:marBottom w:val="0"/>
      <w:divBdr>
        <w:top w:val="none" w:sz="0" w:space="0" w:color="auto"/>
        <w:left w:val="none" w:sz="0" w:space="0" w:color="auto"/>
        <w:bottom w:val="none" w:sz="0" w:space="0" w:color="auto"/>
        <w:right w:val="none" w:sz="0" w:space="0" w:color="auto"/>
      </w:divBdr>
      <w:divsChild>
        <w:div w:id="262492691">
          <w:marLeft w:val="0"/>
          <w:marRight w:val="0"/>
          <w:marTop w:val="0"/>
          <w:marBottom w:val="0"/>
          <w:divBdr>
            <w:top w:val="none" w:sz="0" w:space="0" w:color="auto"/>
            <w:left w:val="none" w:sz="0" w:space="0" w:color="auto"/>
            <w:bottom w:val="none" w:sz="0" w:space="0" w:color="auto"/>
            <w:right w:val="none" w:sz="0" w:space="0" w:color="auto"/>
          </w:divBdr>
          <w:divsChild>
            <w:div w:id="1564370231">
              <w:marLeft w:val="0"/>
              <w:marRight w:val="0"/>
              <w:marTop w:val="0"/>
              <w:marBottom w:val="0"/>
              <w:divBdr>
                <w:top w:val="none" w:sz="0" w:space="0" w:color="auto"/>
                <w:left w:val="none" w:sz="0" w:space="0" w:color="auto"/>
                <w:bottom w:val="none" w:sz="0" w:space="0" w:color="auto"/>
                <w:right w:val="none" w:sz="0" w:space="0" w:color="auto"/>
              </w:divBdr>
              <w:divsChild>
                <w:div w:id="1665090067">
                  <w:marLeft w:val="0"/>
                  <w:marRight w:val="0"/>
                  <w:marTop w:val="0"/>
                  <w:marBottom w:val="0"/>
                  <w:divBdr>
                    <w:top w:val="none" w:sz="0" w:space="0" w:color="auto"/>
                    <w:left w:val="none" w:sz="0" w:space="0" w:color="auto"/>
                    <w:bottom w:val="none" w:sz="0" w:space="0" w:color="auto"/>
                    <w:right w:val="none" w:sz="0" w:space="0" w:color="auto"/>
                  </w:divBdr>
                </w:div>
                <w:div w:id="204682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273521">
      <w:bodyDiv w:val="1"/>
      <w:marLeft w:val="0"/>
      <w:marRight w:val="0"/>
      <w:marTop w:val="0"/>
      <w:marBottom w:val="0"/>
      <w:divBdr>
        <w:top w:val="none" w:sz="0" w:space="0" w:color="auto"/>
        <w:left w:val="none" w:sz="0" w:space="0" w:color="auto"/>
        <w:bottom w:val="none" w:sz="0" w:space="0" w:color="auto"/>
        <w:right w:val="none" w:sz="0" w:space="0" w:color="auto"/>
      </w:divBdr>
      <w:divsChild>
        <w:div w:id="1316035731">
          <w:marLeft w:val="0"/>
          <w:marRight w:val="0"/>
          <w:marTop w:val="0"/>
          <w:marBottom w:val="0"/>
          <w:divBdr>
            <w:top w:val="none" w:sz="0" w:space="0" w:color="auto"/>
            <w:left w:val="none" w:sz="0" w:space="0" w:color="auto"/>
            <w:bottom w:val="none" w:sz="0" w:space="0" w:color="auto"/>
            <w:right w:val="none" w:sz="0" w:space="0" w:color="auto"/>
          </w:divBdr>
          <w:divsChild>
            <w:div w:id="60442658">
              <w:marLeft w:val="0"/>
              <w:marRight w:val="0"/>
              <w:marTop w:val="0"/>
              <w:marBottom w:val="0"/>
              <w:divBdr>
                <w:top w:val="none" w:sz="0" w:space="0" w:color="auto"/>
                <w:left w:val="none" w:sz="0" w:space="0" w:color="auto"/>
                <w:bottom w:val="none" w:sz="0" w:space="0" w:color="auto"/>
                <w:right w:val="none" w:sz="0" w:space="0" w:color="auto"/>
              </w:divBdr>
              <w:divsChild>
                <w:div w:id="1096444414">
                  <w:marLeft w:val="0"/>
                  <w:marRight w:val="0"/>
                  <w:marTop w:val="0"/>
                  <w:marBottom w:val="0"/>
                  <w:divBdr>
                    <w:top w:val="none" w:sz="0" w:space="0" w:color="auto"/>
                    <w:left w:val="none" w:sz="0" w:space="0" w:color="auto"/>
                    <w:bottom w:val="none" w:sz="0" w:space="0" w:color="auto"/>
                    <w:right w:val="none" w:sz="0" w:space="0" w:color="auto"/>
                  </w:divBdr>
                </w:div>
                <w:div w:id="1274902862">
                  <w:marLeft w:val="0"/>
                  <w:marRight w:val="0"/>
                  <w:marTop w:val="0"/>
                  <w:marBottom w:val="0"/>
                  <w:divBdr>
                    <w:top w:val="none" w:sz="0" w:space="0" w:color="auto"/>
                    <w:left w:val="none" w:sz="0" w:space="0" w:color="auto"/>
                    <w:bottom w:val="none" w:sz="0" w:space="0" w:color="auto"/>
                    <w:right w:val="none" w:sz="0" w:space="0" w:color="auto"/>
                  </w:divBdr>
                </w:div>
                <w:div w:id="160638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948043">
      <w:bodyDiv w:val="1"/>
      <w:marLeft w:val="0"/>
      <w:marRight w:val="0"/>
      <w:marTop w:val="0"/>
      <w:marBottom w:val="0"/>
      <w:divBdr>
        <w:top w:val="none" w:sz="0" w:space="0" w:color="auto"/>
        <w:left w:val="none" w:sz="0" w:space="0" w:color="auto"/>
        <w:bottom w:val="none" w:sz="0" w:space="0" w:color="auto"/>
        <w:right w:val="none" w:sz="0" w:space="0" w:color="auto"/>
      </w:divBdr>
      <w:divsChild>
        <w:div w:id="305282798">
          <w:marLeft w:val="0"/>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100496">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0987754">
      <w:bodyDiv w:val="1"/>
      <w:marLeft w:val="0"/>
      <w:marRight w:val="0"/>
      <w:marTop w:val="0"/>
      <w:marBottom w:val="0"/>
      <w:divBdr>
        <w:top w:val="none" w:sz="0" w:space="0" w:color="auto"/>
        <w:left w:val="none" w:sz="0" w:space="0" w:color="auto"/>
        <w:bottom w:val="none" w:sz="0" w:space="0" w:color="auto"/>
        <w:right w:val="none" w:sz="0" w:space="0" w:color="auto"/>
      </w:divBdr>
      <w:divsChild>
        <w:div w:id="1316034461">
          <w:marLeft w:val="0"/>
          <w:marRight w:val="0"/>
          <w:marTop w:val="0"/>
          <w:marBottom w:val="0"/>
          <w:divBdr>
            <w:top w:val="none" w:sz="0" w:space="0" w:color="auto"/>
            <w:left w:val="none" w:sz="0" w:space="0" w:color="auto"/>
            <w:bottom w:val="none" w:sz="0" w:space="0" w:color="auto"/>
            <w:right w:val="none" w:sz="0" w:space="0" w:color="auto"/>
          </w:divBdr>
        </w:div>
      </w:divsChild>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340037">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450304">
      <w:bodyDiv w:val="1"/>
      <w:marLeft w:val="0"/>
      <w:marRight w:val="0"/>
      <w:marTop w:val="0"/>
      <w:marBottom w:val="0"/>
      <w:divBdr>
        <w:top w:val="none" w:sz="0" w:space="0" w:color="auto"/>
        <w:left w:val="none" w:sz="0" w:space="0" w:color="auto"/>
        <w:bottom w:val="none" w:sz="0" w:space="0" w:color="auto"/>
        <w:right w:val="none" w:sz="0" w:space="0" w:color="auto"/>
      </w:divBdr>
      <w:divsChild>
        <w:div w:id="218789040">
          <w:marLeft w:val="0"/>
          <w:marRight w:val="0"/>
          <w:marTop w:val="0"/>
          <w:marBottom w:val="0"/>
          <w:divBdr>
            <w:top w:val="none" w:sz="0" w:space="0" w:color="auto"/>
            <w:left w:val="none" w:sz="0" w:space="0" w:color="auto"/>
            <w:bottom w:val="none" w:sz="0" w:space="0" w:color="auto"/>
            <w:right w:val="none" w:sz="0" w:space="0" w:color="auto"/>
          </w:divBdr>
        </w:div>
        <w:div w:id="757865464">
          <w:marLeft w:val="0"/>
          <w:marRight w:val="0"/>
          <w:marTop w:val="0"/>
          <w:marBottom w:val="0"/>
          <w:divBdr>
            <w:top w:val="none" w:sz="0" w:space="0" w:color="auto"/>
            <w:left w:val="none" w:sz="0" w:space="0" w:color="auto"/>
            <w:bottom w:val="none" w:sz="0" w:space="0" w:color="auto"/>
            <w:right w:val="none" w:sz="0" w:space="0" w:color="auto"/>
          </w:divBdr>
        </w:div>
        <w:div w:id="1031422870">
          <w:marLeft w:val="0"/>
          <w:marRight w:val="0"/>
          <w:marTop w:val="0"/>
          <w:marBottom w:val="206"/>
          <w:divBdr>
            <w:top w:val="none" w:sz="0" w:space="0" w:color="auto"/>
            <w:left w:val="none" w:sz="0" w:space="0" w:color="auto"/>
            <w:bottom w:val="none" w:sz="0" w:space="0" w:color="auto"/>
            <w:right w:val="none" w:sz="0" w:space="0" w:color="auto"/>
          </w:divBdr>
        </w:div>
        <w:div w:id="2035231993">
          <w:marLeft w:val="0"/>
          <w:marRight w:val="0"/>
          <w:marTop w:val="0"/>
          <w:marBottom w:val="0"/>
          <w:divBdr>
            <w:top w:val="none" w:sz="0" w:space="0" w:color="auto"/>
            <w:left w:val="none" w:sz="0" w:space="0" w:color="auto"/>
            <w:bottom w:val="none" w:sz="0" w:space="0" w:color="auto"/>
            <w:right w:val="none" w:sz="0" w:space="0" w:color="auto"/>
          </w:divBdr>
        </w:div>
        <w:div w:id="2039622045">
          <w:marLeft w:val="0"/>
          <w:marRight w:val="0"/>
          <w:marTop w:val="206"/>
          <w:marBottom w:val="206"/>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600040">
      <w:bodyDiv w:val="1"/>
      <w:marLeft w:val="0"/>
      <w:marRight w:val="0"/>
      <w:marTop w:val="0"/>
      <w:marBottom w:val="0"/>
      <w:divBdr>
        <w:top w:val="none" w:sz="0" w:space="0" w:color="auto"/>
        <w:left w:val="none" w:sz="0" w:space="0" w:color="auto"/>
        <w:bottom w:val="none" w:sz="0" w:space="0" w:color="auto"/>
        <w:right w:val="none" w:sz="0" w:space="0" w:color="auto"/>
      </w:divBdr>
      <w:divsChild>
        <w:div w:id="287974147">
          <w:marLeft w:val="0"/>
          <w:marRight w:val="0"/>
          <w:marTop w:val="0"/>
          <w:marBottom w:val="0"/>
          <w:divBdr>
            <w:top w:val="none" w:sz="0" w:space="0" w:color="auto"/>
            <w:left w:val="none" w:sz="0" w:space="0" w:color="auto"/>
            <w:bottom w:val="none" w:sz="0" w:space="0" w:color="auto"/>
            <w:right w:val="none" w:sz="0" w:space="0" w:color="auto"/>
          </w:divBdr>
        </w:div>
        <w:div w:id="288167939">
          <w:marLeft w:val="0"/>
          <w:marRight w:val="0"/>
          <w:marTop w:val="0"/>
          <w:marBottom w:val="0"/>
          <w:divBdr>
            <w:top w:val="none" w:sz="0" w:space="0" w:color="auto"/>
            <w:left w:val="none" w:sz="0" w:space="0" w:color="auto"/>
            <w:bottom w:val="none" w:sz="0" w:space="0" w:color="auto"/>
            <w:right w:val="none" w:sz="0" w:space="0" w:color="auto"/>
          </w:divBdr>
        </w:div>
        <w:div w:id="668600267">
          <w:marLeft w:val="0"/>
          <w:marRight w:val="0"/>
          <w:marTop w:val="206"/>
          <w:marBottom w:val="0"/>
          <w:divBdr>
            <w:top w:val="none" w:sz="0" w:space="0" w:color="auto"/>
            <w:left w:val="none" w:sz="0" w:space="0" w:color="auto"/>
            <w:bottom w:val="none" w:sz="0" w:space="0" w:color="auto"/>
            <w:right w:val="none" w:sz="0" w:space="0" w:color="auto"/>
          </w:divBdr>
        </w:div>
        <w:div w:id="798301513">
          <w:marLeft w:val="0"/>
          <w:marRight w:val="0"/>
          <w:marTop w:val="0"/>
          <w:marBottom w:val="0"/>
          <w:divBdr>
            <w:top w:val="none" w:sz="0" w:space="0" w:color="auto"/>
            <w:left w:val="none" w:sz="0" w:space="0" w:color="auto"/>
            <w:bottom w:val="none" w:sz="0" w:space="0" w:color="auto"/>
            <w:right w:val="none" w:sz="0" w:space="0" w:color="auto"/>
          </w:divBdr>
        </w:div>
        <w:div w:id="1942104341">
          <w:marLeft w:val="0"/>
          <w:marRight w:val="0"/>
          <w:marTop w:val="0"/>
          <w:marBottom w:val="206"/>
          <w:divBdr>
            <w:top w:val="none" w:sz="0" w:space="0" w:color="auto"/>
            <w:left w:val="none" w:sz="0" w:space="0" w:color="auto"/>
            <w:bottom w:val="none" w:sz="0" w:space="0" w:color="auto"/>
            <w:right w:val="none" w:sz="0" w:space="0" w:color="auto"/>
          </w:divBdr>
        </w:div>
      </w:divsChild>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95054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12456">
      <w:bodyDiv w:val="1"/>
      <w:marLeft w:val="0"/>
      <w:marRight w:val="0"/>
      <w:marTop w:val="0"/>
      <w:marBottom w:val="0"/>
      <w:divBdr>
        <w:top w:val="none" w:sz="0" w:space="0" w:color="auto"/>
        <w:left w:val="none" w:sz="0" w:space="0" w:color="auto"/>
        <w:bottom w:val="none" w:sz="0" w:space="0" w:color="auto"/>
        <w:right w:val="none" w:sz="0" w:space="0" w:color="auto"/>
      </w:divBdr>
      <w:divsChild>
        <w:div w:id="128282048">
          <w:marLeft w:val="0"/>
          <w:marRight w:val="0"/>
          <w:marTop w:val="0"/>
          <w:marBottom w:val="0"/>
          <w:divBdr>
            <w:top w:val="none" w:sz="0" w:space="0" w:color="auto"/>
            <w:left w:val="none" w:sz="0" w:space="0" w:color="auto"/>
            <w:bottom w:val="none" w:sz="0" w:space="0" w:color="auto"/>
            <w:right w:val="none" w:sz="0" w:space="0" w:color="auto"/>
          </w:divBdr>
        </w:div>
      </w:divsChild>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102</TotalTime>
  <Pages>3</Pages>
  <Words>999</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乔雪梅</cp:lastModifiedBy>
  <cp:revision>16</cp:revision>
  <cp:lastPrinted>2013-05-13T04:37:00Z</cp:lastPrinted>
  <dcterms:created xsi:type="dcterms:W3CDTF">2025-08-15T07:32:00Z</dcterms:created>
  <dcterms:modified xsi:type="dcterms:W3CDTF">2025-10-02T13:32:00Z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ies>
</file>